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01"/>
        <w:jc w:val="center"/>
        <w:rPr>
          <w:rFonts w:hint="eastAsia" w:asciiTheme="minorEastAsia" w:hAnsiTheme="minorEastAsia" w:eastAsiaTheme="minorEastAsia" w:cstheme="minorEastAsia"/>
          <w:b/>
          <w:bCs/>
          <w:sz w:val="36"/>
          <w:szCs w:val="48"/>
        </w:rPr>
      </w:pPr>
      <w:bookmarkStart w:id="0" w:name="_Hlk162858481"/>
      <w:r>
        <w:rPr>
          <w:rFonts w:hint="eastAsia" w:asciiTheme="minorEastAsia" w:hAnsiTheme="minorEastAsia" w:eastAsiaTheme="minorEastAsia" w:cstheme="minorEastAsia"/>
          <w:b/>
          <w:bCs/>
          <w:sz w:val="36"/>
          <w:szCs w:val="48"/>
          <w:lang w:val="en-US" w:eastAsia="zh-CN"/>
        </w:rPr>
        <w:t>大润发物流中心</w:t>
      </w:r>
      <w:r>
        <w:rPr>
          <w:rFonts w:hint="eastAsia" w:asciiTheme="minorEastAsia" w:hAnsiTheme="minorEastAsia" w:eastAsiaTheme="minorEastAsia" w:cstheme="minorEastAsia"/>
          <w:b/>
          <w:bCs/>
          <w:sz w:val="36"/>
          <w:szCs w:val="48"/>
          <w:lang w:eastAsia="zh-CN"/>
        </w:rPr>
        <w:t>全国干线运输</w:t>
      </w:r>
      <w:r>
        <w:rPr>
          <w:rFonts w:hint="eastAsia" w:asciiTheme="minorEastAsia" w:hAnsiTheme="minorEastAsia" w:eastAsiaTheme="minorEastAsia" w:cstheme="minorEastAsia"/>
          <w:b/>
          <w:bCs/>
          <w:sz w:val="36"/>
          <w:szCs w:val="48"/>
        </w:rPr>
        <w:t>项目</w:t>
      </w:r>
    </w:p>
    <w:p>
      <w:pPr>
        <w:jc w:val="center"/>
        <w:rPr>
          <w:rFonts w:hint="eastAsia" w:asciiTheme="minorEastAsia" w:hAnsiTheme="minorEastAsia" w:eastAsiaTheme="minorEastAsia" w:cstheme="minorEastAsia"/>
          <w:b/>
          <w:bCs/>
          <w:color w:val="000000" w:themeColor="text1"/>
          <w:sz w:val="36"/>
          <w:szCs w:val="28"/>
          <w14:textFill>
            <w14:solidFill>
              <w14:schemeClr w14:val="tx1"/>
            </w14:solidFill>
          </w14:textFill>
        </w:rPr>
      </w:pPr>
      <w:r>
        <w:rPr>
          <w:rFonts w:hint="eastAsia" w:asciiTheme="minorEastAsia" w:hAnsiTheme="minorEastAsia" w:eastAsiaTheme="minorEastAsia" w:cstheme="minorEastAsia"/>
          <w:b/>
          <w:bCs/>
          <w:color w:val="000000" w:themeColor="text1"/>
          <w:sz w:val="36"/>
          <w:szCs w:val="28"/>
          <w:lang w:val="en-US" w:eastAsia="zh-CN"/>
          <w14:textFill>
            <w14:solidFill>
              <w14:schemeClr w14:val="tx1"/>
            </w14:solidFill>
          </w14:textFill>
        </w:rPr>
        <w:t>询  价</w:t>
      </w:r>
      <w:r>
        <w:rPr>
          <w:rFonts w:hint="eastAsia" w:asciiTheme="minorEastAsia" w:hAnsiTheme="minorEastAsia" w:eastAsiaTheme="minorEastAsia" w:cstheme="minorEastAsia"/>
          <w:b/>
          <w:bCs/>
          <w:color w:val="000000" w:themeColor="text1"/>
          <w:sz w:val="36"/>
          <w:szCs w:val="28"/>
          <w14:textFill>
            <w14:solidFill>
              <w14:schemeClr w14:val="tx1"/>
            </w14:solidFill>
          </w14:textFill>
        </w:rPr>
        <w:t xml:space="preserve"> 文 件</w:t>
      </w:r>
    </w:p>
    <w:p>
      <w:pPr>
        <w:spacing w:after="120" w:line="360" w:lineRule="atLeast"/>
        <w:jc w:val="center"/>
        <w:rPr>
          <w:rFonts w:hint="eastAsia" w:asciiTheme="minorEastAsia" w:hAnsiTheme="minorEastAsia" w:eastAsiaTheme="minorEastAsia" w:cstheme="minorEastAsia"/>
          <w:b/>
          <w:color w:val="000000" w:themeColor="text1"/>
          <w:sz w:val="32"/>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32"/>
          <w14:textFill>
            <w14:solidFill>
              <w14:schemeClr w14:val="tx1"/>
            </w14:solidFill>
          </w14:textFill>
        </w:rPr>
        <w:t>招标人：</w:t>
      </w:r>
      <w:r>
        <w:rPr>
          <w:rFonts w:hint="eastAsia" w:asciiTheme="minorEastAsia" w:hAnsiTheme="minorEastAsia" w:eastAsiaTheme="minorEastAsia" w:cstheme="minorEastAsia"/>
          <w:b/>
          <w:color w:val="000000" w:themeColor="text1"/>
          <w:sz w:val="32"/>
          <w:lang w:eastAsia="zh-CN"/>
          <w14:textFill>
            <w14:solidFill>
              <w14:schemeClr w14:val="tx1"/>
            </w14:solidFill>
          </w14:textFill>
        </w:rPr>
        <w:t>苏州康诚仓储有限公司</w:t>
      </w:r>
    </w:p>
    <w:p>
      <w:pPr>
        <w:spacing w:after="120" w:line="360" w:lineRule="atLeast"/>
        <w:jc w:val="center"/>
        <w:rPr>
          <w:rFonts w:hint="eastAsia" w:asciiTheme="minorEastAsia" w:hAnsiTheme="minorEastAsia" w:eastAsiaTheme="minorEastAsia" w:cstheme="minorEastAsia"/>
          <w:b/>
          <w:color w:val="000000" w:themeColor="text1"/>
          <w:sz w:val="32"/>
          <w14:textFill>
            <w14:solidFill>
              <w14:schemeClr w14:val="tx1"/>
            </w14:solidFill>
          </w14:textFill>
        </w:rPr>
      </w:pPr>
      <w:r>
        <w:rPr>
          <w:rFonts w:hint="eastAsia" w:asciiTheme="minorEastAsia" w:hAnsiTheme="minorEastAsia" w:eastAsiaTheme="minorEastAsia" w:cstheme="minorEastAsia"/>
          <w:b/>
          <w:color w:val="000000" w:themeColor="text1"/>
          <w:sz w:val="32"/>
          <w14:textFill>
            <w14:solidFill>
              <w14:schemeClr w14:val="tx1"/>
            </w14:solidFill>
          </w14:textFill>
        </w:rPr>
        <w:t>202</w:t>
      </w:r>
      <w:r>
        <w:rPr>
          <w:rFonts w:hint="eastAsia" w:asciiTheme="minorEastAsia" w:hAnsiTheme="minorEastAsia" w:eastAsiaTheme="minorEastAsia" w:cstheme="minorEastAsia"/>
          <w:b/>
          <w:color w:val="000000" w:themeColor="text1"/>
          <w:sz w:val="32"/>
          <w:lang w:val="en-US" w:eastAsia="zh-CN"/>
          <w14:textFill>
            <w14:solidFill>
              <w14:schemeClr w14:val="tx1"/>
            </w14:solidFill>
          </w14:textFill>
        </w:rPr>
        <w:t>6</w:t>
      </w:r>
      <w:r>
        <w:rPr>
          <w:rFonts w:hint="eastAsia" w:asciiTheme="minorEastAsia" w:hAnsiTheme="minorEastAsia" w:eastAsiaTheme="minorEastAsia" w:cstheme="minorEastAsia"/>
          <w:b/>
          <w:color w:val="000000" w:themeColor="text1"/>
          <w:sz w:val="32"/>
          <w14:textFill>
            <w14:solidFill>
              <w14:schemeClr w14:val="tx1"/>
            </w14:solidFill>
          </w14:textFill>
        </w:rPr>
        <w:t>年</w:t>
      </w:r>
      <w:r>
        <w:rPr>
          <w:rFonts w:hint="eastAsia" w:asciiTheme="minorEastAsia" w:hAnsiTheme="minorEastAsia" w:eastAsiaTheme="minorEastAsia" w:cstheme="minorEastAsia"/>
          <w:b/>
          <w:color w:val="000000" w:themeColor="text1"/>
          <w:sz w:val="32"/>
          <w:lang w:val="en-US" w:eastAsia="zh-CN"/>
          <w14:textFill>
            <w14:solidFill>
              <w14:schemeClr w14:val="tx1"/>
            </w14:solidFill>
          </w14:textFill>
        </w:rPr>
        <w:t>6</w:t>
      </w:r>
      <w:r>
        <w:rPr>
          <w:rFonts w:hint="eastAsia" w:asciiTheme="minorEastAsia" w:hAnsiTheme="minorEastAsia" w:eastAsiaTheme="minorEastAsia" w:cstheme="minorEastAsia"/>
          <w:b/>
          <w:color w:val="000000" w:themeColor="text1"/>
          <w:sz w:val="32"/>
          <w14:textFill>
            <w14:solidFill>
              <w14:schemeClr w14:val="tx1"/>
            </w14:solidFill>
          </w14:textFill>
        </w:rPr>
        <w:t>月</w:t>
      </w:r>
      <w:r>
        <w:rPr>
          <w:rFonts w:hint="eastAsia" w:asciiTheme="minorEastAsia" w:hAnsiTheme="minorEastAsia" w:eastAsiaTheme="minorEastAsia" w:cstheme="minorEastAsia"/>
          <w:b/>
          <w:color w:val="000000" w:themeColor="text1"/>
          <w:sz w:val="32"/>
          <w:lang w:val="en-US" w:eastAsia="zh-CN"/>
          <w14:textFill>
            <w14:solidFill>
              <w14:schemeClr w14:val="tx1"/>
            </w14:solidFill>
          </w14:textFill>
        </w:rPr>
        <w:t xml:space="preserve"> </w:t>
      </w:r>
      <w:r>
        <w:rPr>
          <w:rFonts w:hint="default" w:asciiTheme="minorEastAsia" w:hAnsiTheme="minorEastAsia" w:eastAsiaTheme="minorEastAsia" w:cstheme="minorEastAsia"/>
          <w:b/>
          <w:color w:val="000000" w:themeColor="text1"/>
          <w:sz w:val="32"/>
          <w:lang w:eastAsia="zh-CN"/>
          <w14:textFill>
            <w14:solidFill>
              <w14:schemeClr w14:val="tx1"/>
            </w14:solidFill>
          </w14:textFill>
        </w:rPr>
        <w:t>2</w:t>
      </w:r>
      <w:r>
        <w:rPr>
          <w:rFonts w:hint="eastAsia" w:asciiTheme="minorEastAsia" w:hAnsiTheme="minorEastAsia" w:eastAsiaTheme="minorEastAsia" w:cstheme="minorEastAsia"/>
          <w:b/>
          <w:color w:val="000000" w:themeColor="text1"/>
          <w:sz w:val="32"/>
          <w14:textFill>
            <w14:solidFill>
              <w14:schemeClr w14:val="tx1"/>
            </w14:solidFill>
          </w14:textFill>
        </w:rPr>
        <w:t>日</w:t>
      </w:r>
    </w:p>
    <w:p>
      <w:pPr>
        <w:pStyle w:val="19"/>
        <w:ind w:firstLine="210"/>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pStyle w:val="19"/>
        <w:ind w:firstLine="210"/>
        <w:rPr>
          <w:rFonts w:hint="eastAsia" w:asciiTheme="minorEastAsia" w:hAnsiTheme="minorEastAsia" w:eastAsiaTheme="minorEastAsia" w:cstheme="minorEastAsia"/>
        </w:rPr>
      </w:pPr>
    </w:p>
    <w:sdt>
      <w:sdtPr>
        <w:rPr>
          <w:rFonts w:hint="eastAsia" w:asciiTheme="minorEastAsia" w:hAnsiTheme="minorEastAsia" w:eastAsiaTheme="minorEastAsia" w:cstheme="minorEastAsia"/>
          <w:color w:val="auto"/>
          <w:kern w:val="2"/>
          <w:sz w:val="21"/>
          <w:szCs w:val="20"/>
          <w:lang w:val="zh-CN"/>
        </w:rPr>
        <w:id w:val="-1"/>
        <w:docPartObj>
          <w:docPartGallery w:val="Table of Contents"/>
          <w:docPartUnique/>
        </w:docPartObj>
      </w:sdtPr>
      <w:sdtEndPr>
        <w:rPr>
          <w:rFonts w:hint="eastAsia" w:asciiTheme="minorEastAsia" w:hAnsiTheme="minorEastAsia" w:eastAsiaTheme="minorEastAsia" w:cstheme="minorEastAsia"/>
          <w:b/>
          <w:bCs/>
          <w:color w:val="auto"/>
          <w:kern w:val="2"/>
          <w:sz w:val="21"/>
          <w:szCs w:val="20"/>
          <w:lang w:val="zh-CN"/>
        </w:rPr>
      </w:sdtEndPr>
      <w:sdtContent>
        <w:p>
          <w:pPr>
            <w:pStyle w:val="208"/>
            <w:rPr>
              <w:rFonts w:hint="eastAsia" w:asciiTheme="minorEastAsia" w:hAnsiTheme="minorEastAsia" w:eastAsiaTheme="minorEastAsia" w:cstheme="minorEastAsia"/>
            </w:rPr>
          </w:pPr>
          <w:r>
            <w:rPr>
              <w:rFonts w:hint="eastAsia" w:asciiTheme="minorEastAsia" w:hAnsiTheme="minorEastAsia" w:eastAsiaTheme="minorEastAsia" w:cstheme="minorEastAsia"/>
              <w:lang w:val="zh-CN"/>
            </w:rPr>
            <w:t>目录</w:t>
          </w:r>
        </w:p>
        <w:p>
          <w:pPr>
            <w:pStyle w:val="34"/>
            <w:tabs>
              <w:tab w:val="right" w:leader="dot" w:pos="9412"/>
              <w:tab w:val="clear" w:pos="360"/>
              <w:tab w:val="clear" w:pos="709"/>
              <w:tab w:val="clear" w:pos="8505"/>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TOC \o "1-3" \h \z \u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_Toc12508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第一章  询价公告</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_Toc12508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_Toc10296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4"/>
            </w:rPr>
            <w:t>1、项目概况</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_Toc10296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_Toc31677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rPr>
            <w:t>2、投标人资格要求</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_Toc31677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_Toc10125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highlight w:val="none"/>
            </w:rPr>
            <w:t>3、投标文件的递交</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_Toc10125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_Toc30577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rPr>
            <w:t>4、时间一览表</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_Toc30577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_Toc31356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lang w:val="en-US" w:eastAsia="zh-CN"/>
            </w:rPr>
            <w:t>5</w:t>
          </w:r>
          <w:r>
            <w:rPr>
              <w:rFonts w:hint="eastAsia" w:asciiTheme="minorEastAsia" w:hAnsiTheme="minorEastAsia" w:eastAsiaTheme="minorEastAsia" w:cstheme="minorEastAsia"/>
              <w:szCs w:val="22"/>
            </w:rPr>
            <w:t>、联系方式</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_Toc31356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pStyle w:val="34"/>
            <w:tabs>
              <w:tab w:val="right" w:leader="dot" w:pos="9412"/>
              <w:tab w:val="clear" w:pos="360"/>
              <w:tab w:val="clear" w:pos="709"/>
              <w:tab w:val="clear" w:pos="8505"/>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_Toc4904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rPr>
            <w:t>第二章 投标人须知</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_Toc4904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_Toc13800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rPr>
            <w:t>投标人须知前附表</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_Toc13800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pStyle w:val="34"/>
            <w:tabs>
              <w:tab w:val="right" w:leader="dot" w:pos="9412"/>
              <w:tab w:val="clear" w:pos="360"/>
              <w:tab w:val="clear" w:pos="709"/>
              <w:tab w:val="clear" w:pos="8505"/>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_Toc20685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rPr>
            <w:t>第三章 评标办法（综合评分法）</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_Toc20685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_Toc23136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rPr>
            <w:t>评标办法细则</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_Toc23136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_Toc17364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rPr>
            <w:t>1. 评标方法</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_Toc17364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_Toc30238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rPr>
            <w:t>2. 评审标准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_Toc30238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pStyle w:val="24"/>
            <w:tabs>
              <w:tab w:val="right" w:leader="dot" w:pos="9412"/>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_Toc20417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rPr>
            <w:t>2.1详细评审标准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_Toc20417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_Toc31743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rPr>
            <w:t>3. 评标程序</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_Toc31743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pStyle w:val="24"/>
            <w:tabs>
              <w:tab w:val="right" w:leader="dot" w:pos="9412"/>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_Toc27585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rPr>
            <w:t>3.1 初步评审</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_Toc27585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pStyle w:val="24"/>
            <w:tabs>
              <w:tab w:val="right" w:leader="dot" w:pos="9412"/>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_Toc7996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rPr>
            <w:t>3.2 详细评审</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_Toc7996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pStyle w:val="24"/>
            <w:tabs>
              <w:tab w:val="right" w:leader="dot" w:pos="9412"/>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_Toc7160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rPr>
            <w:t>3.3 投标文件的澄清</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_Toc7160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pStyle w:val="34"/>
            <w:tabs>
              <w:tab w:val="right" w:leader="dot" w:pos="9412"/>
              <w:tab w:val="clear" w:pos="360"/>
              <w:tab w:val="clear" w:pos="709"/>
              <w:tab w:val="clear" w:pos="8505"/>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_Toc16876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rPr>
            <w:t>附件明细：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_Toc16876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10</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end"/>
          </w:r>
        </w:p>
      </w:sdtContent>
    </w:sdt>
    <w:p>
      <w:pPr>
        <w:rPr>
          <w:rFonts w:hint="eastAsia" w:asciiTheme="minorEastAsia" w:hAnsiTheme="minorEastAsia" w:eastAsiaTheme="minorEastAsia" w:cstheme="minorEastAsia"/>
        </w:rPr>
      </w:pPr>
    </w:p>
    <w:p>
      <w:pPr>
        <w:pStyle w:val="2"/>
        <w:spacing w:before="0" w:after="0"/>
        <w:jc w:val="center"/>
        <w:rPr>
          <w:rFonts w:hint="eastAsia" w:asciiTheme="minorEastAsia" w:hAnsiTheme="minorEastAsia" w:eastAsiaTheme="minorEastAsia" w:cstheme="minorEastAsia"/>
          <w:color w:val="000000" w:themeColor="text1"/>
          <w14:textFill>
            <w14:solidFill>
              <w14:schemeClr w14:val="tx1"/>
            </w14:solidFill>
          </w14:textFill>
        </w:rPr>
      </w:pPr>
      <w:bookmarkStart w:id="1" w:name="_Toc12886"/>
      <w:bookmarkStart w:id="2" w:name="_Toc447265797"/>
      <w:bookmarkStart w:id="3" w:name="_Toc447265497"/>
      <w:bookmarkStart w:id="4" w:name="_Toc474507507"/>
      <w:bookmarkStart w:id="5" w:name="_Toc26781"/>
      <w:bookmarkStart w:id="6" w:name="_Toc447265211"/>
      <w:bookmarkStart w:id="7" w:name="_Toc12508"/>
      <w:bookmarkStart w:id="8" w:name="_Toc447188662"/>
      <w:bookmarkStart w:id="9" w:name="_Toc28436"/>
      <w:r>
        <w:rPr>
          <w:rFonts w:hint="eastAsia" w:asciiTheme="minorEastAsia" w:hAnsiTheme="minorEastAsia" w:eastAsiaTheme="minorEastAsia" w:cstheme="minorEastAsia"/>
          <w:color w:val="000000" w:themeColor="text1"/>
          <w14:textFill>
            <w14:solidFill>
              <w14:schemeClr w14:val="tx1"/>
            </w14:solidFill>
          </w14:textFill>
        </w:rPr>
        <w:t>第一章  询价公告</w:t>
      </w:r>
      <w:bookmarkEnd w:id="1"/>
      <w:bookmarkEnd w:id="2"/>
      <w:bookmarkEnd w:id="3"/>
      <w:bookmarkEnd w:id="4"/>
      <w:bookmarkEnd w:id="5"/>
      <w:bookmarkEnd w:id="6"/>
      <w:bookmarkEnd w:id="7"/>
      <w:bookmarkEnd w:id="8"/>
      <w:bookmarkEnd w:id="9"/>
    </w:p>
    <w:p>
      <w:pPr>
        <w:pStyle w:val="87"/>
        <w:ind w:firstLine="0" w:firstLineChars="0"/>
        <w:rPr>
          <w:rFonts w:hint="eastAsia" w:asciiTheme="minorEastAsia" w:hAnsiTheme="minorEastAsia" w:eastAsiaTheme="minorEastAsia" w:cstheme="minorEastAsia"/>
          <w:b/>
          <w:bCs/>
          <w:color w:val="000000" w:themeColor="text1"/>
          <w:lang w:eastAsia="zh-CN"/>
          <w14:textFill>
            <w14:solidFill>
              <w14:schemeClr w14:val="tx1"/>
            </w14:solidFill>
          </w14:textFill>
        </w:rPr>
      </w:pPr>
      <w:bookmarkStart w:id="10" w:name="_Toc8504"/>
      <w:bookmarkStart w:id="11" w:name="_Toc28395"/>
      <w:bookmarkStart w:id="12" w:name="_Toc447188665"/>
      <w:bookmarkStart w:id="13" w:name="_Toc22229"/>
      <w:bookmarkStart w:id="14" w:name="_Toc447265500"/>
      <w:bookmarkStart w:id="15" w:name="_Toc447265214"/>
      <w:bookmarkStart w:id="16" w:name="_Toc17332"/>
      <w:bookmarkStart w:id="17" w:name="_Toc474507510"/>
      <w:r>
        <w:rPr>
          <w:rFonts w:hint="eastAsia" w:asciiTheme="minorEastAsia" w:hAnsiTheme="minorEastAsia" w:eastAsiaTheme="minorEastAsia" w:cstheme="minorEastAsia"/>
          <w:b/>
          <w:bCs/>
          <w:color w:val="000000" w:themeColor="text1"/>
          <w14:textFill>
            <w14:solidFill>
              <w14:schemeClr w14:val="tx1"/>
            </w14:solidFill>
          </w14:textFill>
        </w:rPr>
        <w:t>本招标项目为</w:t>
      </w:r>
      <w:r>
        <w:rPr>
          <w:rFonts w:hint="eastAsia" w:asciiTheme="minorEastAsia" w:hAnsiTheme="minorEastAsia" w:eastAsiaTheme="minorEastAsia" w:cstheme="minorEastAsia"/>
          <w:b/>
          <w:bCs/>
          <w:color w:val="000000" w:themeColor="text1"/>
          <w:lang w:val="en-US" w:eastAsia="zh-CN"/>
          <w14:textFill>
            <w14:solidFill>
              <w14:schemeClr w14:val="tx1"/>
            </w14:solidFill>
          </w14:textFill>
        </w:rPr>
        <w:t>大润发物流中心</w:t>
      </w:r>
      <w:r>
        <w:rPr>
          <w:rFonts w:hint="eastAsia" w:asciiTheme="minorEastAsia" w:hAnsiTheme="minorEastAsia" w:eastAsiaTheme="minorEastAsia" w:cstheme="minorEastAsia"/>
          <w:b/>
          <w:bCs/>
          <w:color w:val="000000" w:themeColor="text1"/>
          <w:lang w:eastAsia="zh-CN"/>
          <w14:textFill>
            <w14:solidFill>
              <w14:schemeClr w14:val="tx1"/>
            </w14:solidFill>
          </w14:textFill>
        </w:rPr>
        <w:t>全国干线运输招标</w:t>
      </w:r>
      <w:r>
        <w:rPr>
          <w:rFonts w:hint="eastAsia" w:asciiTheme="minorEastAsia" w:hAnsiTheme="minorEastAsia" w:eastAsiaTheme="minorEastAsia" w:cstheme="minorEastAsia"/>
          <w:b/>
          <w:bCs/>
          <w:color w:val="000000" w:themeColor="text1"/>
          <w14:textFill>
            <w14:solidFill>
              <w14:schemeClr w14:val="tx1"/>
            </w14:solidFill>
          </w14:textFill>
        </w:rPr>
        <w:t>项目，招标人为</w:t>
      </w:r>
      <w:r>
        <w:rPr>
          <w:rFonts w:hint="eastAsia" w:asciiTheme="minorEastAsia" w:hAnsiTheme="minorEastAsia" w:eastAsiaTheme="minorEastAsia" w:cstheme="minorEastAsia"/>
          <w:b/>
          <w:bCs/>
          <w:color w:val="000000" w:themeColor="text1"/>
          <w:lang w:eastAsia="zh-CN"/>
          <w14:textFill>
            <w14:solidFill>
              <w14:schemeClr w14:val="tx1"/>
            </w14:solidFill>
          </w14:textFill>
        </w:rPr>
        <w:t>苏州康诚仓储有限公司</w:t>
      </w:r>
    </w:p>
    <w:p>
      <w:pPr>
        <w:pStyle w:val="3"/>
        <w:spacing w:before="0" w:after="0" w:line="360" w:lineRule="auto"/>
        <w:rPr>
          <w:rFonts w:hint="eastAsia" w:asciiTheme="minorEastAsia" w:hAnsiTheme="minorEastAsia" w:eastAsiaTheme="minorEastAsia" w:cstheme="minorEastAsia"/>
          <w:color w:val="000000" w:themeColor="text1"/>
          <w:szCs w:val="24"/>
          <w14:textFill>
            <w14:solidFill>
              <w14:schemeClr w14:val="tx1"/>
            </w14:solidFill>
          </w14:textFill>
        </w:rPr>
      </w:pPr>
      <w:bookmarkStart w:id="18" w:name="_Toc10296"/>
      <w:bookmarkStart w:id="19" w:name="_Toc195"/>
      <w:bookmarkStart w:id="20" w:name="_Toc14047"/>
      <w:bookmarkStart w:id="21" w:name="_Toc9870"/>
      <w:r>
        <w:rPr>
          <w:rFonts w:hint="eastAsia" w:asciiTheme="minorEastAsia" w:hAnsiTheme="minorEastAsia" w:eastAsiaTheme="minorEastAsia" w:cstheme="minorEastAsia"/>
          <w:color w:val="000000" w:themeColor="text1"/>
          <w:szCs w:val="24"/>
          <w14:textFill>
            <w14:solidFill>
              <w14:schemeClr w14:val="tx1"/>
            </w14:solidFill>
          </w14:textFill>
        </w:rPr>
        <w:t>1、项目概况</w:t>
      </w:r>
      <w:bookmarkEnd w:id="10"/>
      <w:bookmarkEnd w:id="11"/>
      <w:bookmarkEnd w:id="18"/>
      <w:bookmarkEnd w:id="19"/>
      <w:bookmarkEnd w:id="20"/>
      <w:bookmarkEnd w:id="21"/>
    </w:p>
    <w:p>
      <w:pPr>
        <w:pStyle w:val="66"/>
        <w:spacing w:line="360" w:lineRule="auto"/>
        <w:rPr>
          <w:rFonts w:hint="eastAsia" w:asciiTheme="minorEastAsia" w:hAnsiTheme="minorEastAsia" w:eastAsiaTheme="minorEastAsia" w:cstheme="minorEastAsia"/>
          <w:b w:val="0"/>
          <w:bCs w:val="0"/>
          <w:color w:val="000000" w:themeColor="text1"/>
          <w14:textFill>
            <w14:solidFill>
              <w14:schemeClr w14:val="tx1"/>
            </w14:solidFill>
          </w14:textFill>
        </w:rPr>
      </w:pPr>
      <w:bookmarkStart w:id="22" w:name="_Toc184704555"/>
      <w:bookmarkStart w:id="23" w:name="_Toc319769473"/>
      <w:bookmarkStart w:id="24" w:name="_Toc319394714"/>
      <w:r>
        <w:rPr>
          <w:rFonts w:hint="eastAsia" w:asciiTheme="minorEastAsia" w:hAnsiTheme="minorEastAsia" w:eastAsiaTheme="minorEastAsia" w:cstheme="minorEastAsia"/>
          <w:color w:val="000000" w:themeColor="text1"/>
          <w:kern w:val="2"/>
          <w:szCs w:val="21"/>
          <w14:textFill>
            <w14:solidFill>
              <w14:schemeClr w14:val="tx1"/>
            </w14:solidFill>
          </w14:textFill>
        </w:rPr>
        <w:t>1.1项目名称：</w:t>
      </w:r>
      <w:r>
        <w:rPr>
          <w:rFonts w:hint="eastAsia" w:asciiTheme="minorEastAsia" w:hAnsiTheme="minorEastAsia" w:eastAsiaTheme="minorEastAsia" w:cstheme="minorEastAsia"/>
          <w:b w:val="0"/>
          <w:bCs w:val="0"/>
          <w:color w:val="000000" w:themeColor="text1"/>
          <w:lang w:val="en-US" w:eastAsia="zh-CN"/>
          <w14:textFill>
            <w14:solidFill>
              <w14:schemeClr w14:val="tx1"/>
            </w14:solidFill>
          </w14:textFill>
        </w:rPr>
        <w:t>大润发物流中心</w:t>
      </w:r>
      <w:r>
        <w:rPr>
          <w:rFonts w:hint="eastAsia" w:asciiTheme="minorEastAsia" w:hAnsiTheme="minorEastAsia" w:eastAsiaTheme="minorEastAsia" w:cstheme="minorEastAsia"/>
          <w:b w:val="0"/>
          <w:bCs w:val="0"/>
          <w:color w:val="000000" w:themeColor="text1"/>
          <w:lang w:eastAsia="zh-CN"/>
          <w14:textFill>
            <w14:solidFill>
              <w14:schemeClr w14:val="tx1"/>
            </w14:solidFill>
          </w14:textFill>
        </w:rPr>
        <w:t>全国干线运输招标</w:t>
      </w:r>
      <w:r>
        <w:rPr>
          <w:rFonts w:hint="eastAsia" w:asciiTheme="minorEastAsia" w:hAnsiTheme="minorEastAsia" w:eastAsiaTheme="minorEastAsia" w:cstheme="minorEastAsia"/>
          <w:b w:val="0"/>
          <w:bCs w:val="0"/>
          <w:color w:val="000000" w:themeColor="text1"/>
          <w14:textFill>
            <w14:solidFill>
              <w14:schemeClr w14:val="tx1"/>
            </w14:solidFill>
          </w14:textFill>
        </w:rPr>
        <w:t>项目</w:t>
      </w:r>
    </w:p>
    <w:p>
      <w:pPr>
        <w:pStyle w:val="66"/>
        <w:spacing w:line="360" w:lineRule="auto"/>
        <w:rPr>
          <w:rFonts w:hint="eastAsia" w:asciiTheme="minorEastAsia" w:hAnsiTheme="minorEastAsia" w:eastAsiaTheme="minorEastAsia" w:cstheme="minorEastAsia"/>
          <w:color w:val="000000" w:themeColor="text1"/>
          <w:kern w:val="2"/>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
          <w:szCs w:val="21"/>
          <w:highlight w:val="none"/>
          <w14:textFill>
            <w14:solidFill>
              <w14:schemeClr w14:val="tx1"/>
            </w14:solidFill>
          </w14:textFill>
        </w:rPr>
        <w:t>1.2项目概况：</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本项目</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招标</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为满足</w:t>
      </w:r>
      <w:r>
        <w:rPr>
          <w:rFonts w:hint="eastAsia" w:asciiTheme="minorEastAsia" w:hAnsiTheme="minorEastAsia" w:eastAsiaTheme="minorEastAsia" w:cstheme="minorEastAsia"/>
          <w:b w:val="0"/>
          <w:bCs w:val="0"/>
          <w:color w:val="000000" w:themeColor="text1"/>
          <w:lang w:val="en-US" w:eastAsia="zh-CN"/>
          <w14:textFill>
            <w14:solidFill>
              <w14:schemeClr w14:val="tx1"/>
            </w14:solidFill>
          </w14:textFill>
        </w:rPr>
        <w:t>大润发物流中心</w:t>
      </w: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全国干线运输</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线路业务</w:t>
      </w:r>
    </w:p>
    <w:p>
      <w:pPr>
        <w:pStyle w:val="66"/>
        <w:spacing w:line="360" w:lineRule="auto"/>
        <w:rPr>
          <w:rFonts w:hint="eastAsia" w:asciiTheme="minorEastAsia" w:hAnsiTheme="minorEastAsia" w:eastAsiaTheme="minorEastAsia" w:cstheme="minorEastAsia"/>
          <w:color w:val="000000" w:themeColor="text1"/>
          <w:kern w:val="2"/>
          <w:szCs w:val="21"/>
          <w14:textFill>
            <w14:solidFill>
              <w14:schemeClr w14:val="tx1"/>
            </w14:solidFill>
          </w14:textFill>
        </w:rPr>
      </w:pPr>
      <w:r>
        <w:rPr>
          <w:rFonts w:hint="eastAsia" w:asciiTheme="minorEastAsia" w:hAnsiTheme="minorEastAsia" w:eastAsiaTheme="minorEastAsia" w:cstheme="minorEastAsia"/>
          <w:color w:val="000000" w:themeColor="text1"/>
          <w:kern w:val="2"/>
          <w:szCs w:val="21"/>
          <w14:textFill>
            <w14:solidFill>
              <w14:schemeClr w14:val="tx1"/>
            </w14:solidFill>
          </w14:textFill>
        </w:rPr>
        <w:t>1.3采购内容及相关要求：</w:t>
      </w:r>
    </w:p>
    <w:p>
      <w:pPr>
        <w:pStyle w:val="66"/>
        <w:spacing w:line="360" w:lineRule="auto"/>
        <w:rPr>
          <w:rFonts w:hint="eastAsia" w:asciiTheme="minorEastAsia" w:hAnsiTheme="minorEastAsia" w:eastAsiaTheme="minorEastAsia" w:cstheme="minorEastAsia"/>
          <w:color w:val="000000" w:themeColor="text1"/>
          <w:kern w:val="2"/>
          <w:szCs w:val="21"/>
          <w14:textFill>
            <w14:solidFill>
              <w14:schemeClr w14:val="tx1"/>
            </w14:solidFill>
          </w14:textFill>
        </w:rPr>
      </w:pPr>
      <w:r>
        <w:rPr>
          <w:rFonts w:hint="eastAsia" w:asciiTheme="minorEastAsia" w:hAnsiTheme="minorEastAsia" w:eastAsiaTheme="minorEastAsia" w:cstheme="minorEastAsia"/>
          <w:color w:val="000000" w:themeColor="text1"/>
          <w:kern w:val="2"/>
          <w:szCs w:val="21"/>
          <w14:textFill>
            <w14:solidFill>
              <w14:schemeClr w14:val="tx1"/>
            </w14:solidFill>
          </w14:textFill>
        </w:rPr>
        <w:t>1.3.1采购内容</w:t>
      </w:r>
    </w:p>
    <w:p>
      <w:pPr>
        <w:pStyle w:val="66"/>
        <w:spacing w:line="360" w:lineRule="auto"/>
        <w:rPr>
          <w:rFonts w:hint="eastAsia" w:asciiTheme="minorEastAsia" w:hAnsiTheme="minorEastAsia" w:eastAsiaTheme="minorEastAsia" w:cstheme="minorEastAsia"/>
          <w:b w:val="0"/>
          <w:bCs w:val="0"/>
          <w:color w:val="000000" w:themeColor="text1"/>
          <w:kern w:val="2"/>
          <w:szCs w:val="21"/>
          <w:highlight w:val="none"/>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Cs w:val="21"/>
          <w:highlight w:val="none"/>
          <w14:textFill>
            <w14:solidFill>
              <w14:schemeClr w14:val="tx1"/>
            </w14:solidFill>
          </w14:textFill>
        </w:rPr>
        <w:t>本项目为</w:t>
      </w:r>
      <w:r>
        <w:rPr>
          <w:rFonts w:hint="eastAsia" w:asciiTheme="minorEastAsia" w:hAnsiTheme="minorEastAsia" w:eastAsiaTheme="minorEastAsia" w:cstheme="minorEastAsia"/>
          <w:b w:val="0"/>
          <w:bCs w:val="0"/>
          <w:color w:val="000000" w:themeColor="text1"/>
          <w:kern w:val="2"/>
          <w:szCs w:val="21"/>
          <w:highlight w:val="none"/>
          <w:lang w:val="en-US" w:eastAsia="zh-CN"/>
          <w14:textFill>
            <w14:solidFill>
              <w14:schemeClr w14:val="tx1"/>
            </w14:solidFill>
          </w14:textFill>
        </w:rPr>
        <w:t>8</w:t>
      </w:r>
      <w:r>
        <w:rPr>
          <w:rFonts w:hint="eastAsia" w:asciiTheme="minorEastAsia" w:hAnsiTheme="minorEastAsia" w:eastAsiaTheme="minorEastAsia" w:cstheme="minorEastAsia"/>
          <w:b w:val="0"/>
          <w:bCs w:val="0"/>
          <w:color w:val="000000" w:themeColor="text1"/>
          <w:kern w:val="2"/>
          <w:szCs w:val="21"/>
          <w:highlight w:val="none"/>
          <w14:textFill>
            <w14:solidFill>
              <w14:schemeClr w14:val="tx1"/>
            </w14:solidFill>
          </w14:textFill>
        </w:rPr>
        <w:t>个标段</w:t>
      </w:r>
      <w:r>
        <w:rPr>
          <w:rFonts w:hint="eastAsia" w:asciiTheme="minorEastAsia" w:hAnsiTheme="minorEastAsia" w:eastAsiaTheme="minorEastAsia" w:cstheme="minorEastAsia"/>
          <w:b w:val="0"/>
          <w:bCs w:val="0"/>
          <w:color w:val="000000" w:themeColor="text1"/>
          <w:kern w:val="2"/>
          <w:szCs w:val="21"/>
          <w:highlight w:val="none"/>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2"/>
          <w:szCs w:val="21"/>
          <w:highlight w:val="none"/>
          <w:lang w:val="en-US" w:eastAsia="zh-CN"/>
          <w14:textFill>
            <w14:solidFill>
              <w14:schemeClr w14:val="tx1"/>
            </w14:solidFill>
          </w14:textFill>
        </w:rPr>
        <w:t>1-4标段为干线整车线路招标，5-8标段为干线零担线路招标</w:t>
      </w:r>
      <w:r>
        <w:rPr>
          <w:rFonts w:hint="eastAsia" w:asciiTheme="minorEastAsia" w:hAnsiTheme="minorEastAsia" w:eastAsiaTheme="minorEastAsia" w:cstheme="minorEastAsia"/>
          <w:b w:val="0"/>
          <w:bCs w:val="0"/>
          <w:color w:val="000000" w:themeColor="text1"/>
          <w:kern w:val="2"/>
          <w:szCs w:val="21"/>
          <w:highlight w:val="none"/>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2"/>
          <w:szCs w:val="21"/>
          <w:highlight w:val="none"/>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2"/>
          <w:szCs w:val="21"/>
          <w:highlight w:val="none"/>
          <w:lang w:val="en-US" w:eastAsia="zh-CN"/>
          <w14:textFill>
            <w14:solidFill>
              <w14:schemeClr w14:val="tx1"/>
            </w14:solidFill>
          </w14:textFill>
        </w:rPr>
        <w:t>每个标段</w:t>
      </w:r>
      <w:r>
        <w:rPr>
          <w:rFonts w:hint="eastAsia" w:asciiTheme="minorEastAsia" w:hAnsiTheme="minorEastAsia" w:eastAsiaTheme="minorEastAsia" w:cstheme="minorEastAsia"/>
          <w:b w:val="0"/>
          <w:bCs w:val="0"/>
          <w:color w:val="000000" w:themeColor="text1"/>
          <w:kern w:val="2"/>
          <w:szCs w:val="21"/>
          <w:highlight w:val="none"/>
          <w14:textFill>
            <w14:solidFill>
              <w14:schemeClr w14:val="tx1"/>
            </w14:solidFill>
          </w14:textFill>
        </w:rPr>
        <w:t>中标</w:t>
      </w:r>
      <w:r>
        <w:rPr>
          <w:rFonts w:hint="eastAsia" w:asciiTheme="minorEastAsia" w:hAnsiTheme="minorEastAsia" w:eastAsiaTheme="minorEastAsia" w:cstheme="minorEastAsia"/>
          <w:b w:val="0"/>
          <w:bCs w:val="0"/>
          <w:color w:val="000000" w:themeColor="text1"/>
          <w:kern w:val="2"/>
          <w:szCs w:val="21"/>
          <w:highlight w:val="none"/>
          <w:lang w:val="en-US" w:eastAsia="zh-CN"/>
          <w14:textFill>
            <w14:solidFill>
              <w14:schemeClr w14:val="tx1"/>
            </w14:solidFill>
          </w14:textFill>
        </w:rPr>
        <w:t>2-3</w:t>
      </w:r>
      <w:r>
        <w:rPr>
          <w:rFonts w:hint="eastAsia" w:asciiTheme="minorEastAsia" w:hAnsiTheme="minorEastAsia" w:eastAsiaTheme="minorEastAsia" w:cstheme="minorEastAsia"/>
          <w:b w:val="0"/>
          <w:bCs w:val="0"/>
          <w:color w:val="000000" w:themeColor="text1"/>
          <w:kern w:val="2"/>
          <w:szCs w:val="21"/>
          <w:highlight w:val="none"/>
          <w14:textFill>
            <w14:solidFill>
              <w14:schemeClr w14:val="tx1"/>
            </w14:solidFill>
          </w14:textFill>
        </w:rPr>
        <w:t>名供应商，服务期1年。详细见附件</w:t>
      </w:r>
      <w:r>
        <w:rPr>
          <w:rFonts w:hint="eastAsia" w:asciiTheme="minorEastAsia" w:hAnsiTheme="minorEastAsia" w:eastAsiaTheme="minorEastAsia" w:cstheme="minorEastAsia"/>
          <w:b w:val="0"/>
          <w:bCs w:val="0"/>
          <w:color w:val="000000" w:themeColor="text1"/>
          <w:kern w:val="2"/>
          <w:szCs w:val="21"/>
          <w:highlight w:val="none"/>
          <w:lang w:eastAsia="zh-CN"/>
          <w14:textFill>
            <w14:solidFill>
              <w14:schemeClr w14:val="tx1"/>
            </w14:solidFill>
          </w14:textFill>
        </w:rPr>
        <w:t>一</w:t>
      </w:r>
      <w:r>
        <w:rPr>
          <w:rFonts w:hint="eastAsia" w:asciiTheme="minorEastAsia" w:hAnsiTheme="minorEastAsia" w:eastAsiaTheme="minorEastAsia" w:cstheme="minorEastAsia"/>
          <w:b w:val="0"/>
          <w:bCs w:val="0"/>
          <w:color w:val="000000" w:themeColor="text1"/>
          <w:kern w:val="2"/>
          <w:szCs w:val="21"/>
          <w:highlight w:val="none"/>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2"/>
          <w:szCs w:val="21"/>
          <w:highlight w:val="none"/>
          <w:lang w:eastAsia="zh-CN"/>
          <w14:textFill>
            <w14:solidFill>
              <w14:schemeClr w14:val="tx1"/>
            </w14:solidFill>
          </w14:textFill>
        </w:rPr>
        <w:t>询价</w:t>
      </w:r>
      <w:r>
        <w:rPr>
          <w:rFonts w:hint="eastAsia" w:asciiTheme="minorEastAsia" w:hAnsiTheme="minorEastAsia" w:eastAsiaTheme="minorEastAsia" w:cstheme="minorEastAsia"/>
          <w:b w:val="0"/>
          <w:bCs w:val="0"/>
          <w:color w:val="000000" w:themeColor="text1"/>
          <w:kern w:val="2"/>
          <w:szCs w:val="21"/>
          <w:highlight w:val="none"/>
          <w14:textFill>
            <w14:solidFill>
              <w14:schemeClr w14:val="tx1"/>
            </w14:solidFill>
          </w14:textFill>
        </w:rPr>
        <w:t>线路表》</w:t>
      </w:r>
    </w:p>
    <w:p>
      <w:pPr>
        <w:widowControl/>
        <w:spacing w:line="360" w:lineRule="auto"/>
        <w:rPr>
          <w:rFonts w:hint="eastAsia" w:asciiTheme="minorEastAsia" w:hAnsiTheme="minorEastAsia" w:eastAsiaTheme="minorEastAsia" w:cstheme="minorEastAsia"/>
          <w:color w:val="000000" w:themeColor="text1"/>
          <w:sz w:val="20"/>
          <w:highlight w:val="none"/>
          <w14:textFill>
            <w14:solidFill>
              <w14:schemeClr w14:val="tx1"/>
            </w14:solidFill>
          </w14:textFill>
        </w:rPr>
      </w:pPr>
      <w:r>
        <w:rPr>
          <w:rFonts w:hint="eastAsia" w:asciiTheme="minorEastAsia" w:hAnsiTheme="minorEastAsia" w:eastAsiaTheme="minorEastAsia" w:cstheme="minorEastAsia"/>
          <w:color w:val="000000" w:themeColor="text1"/>
          <w:sz w:val="20"/>
          <w:highlight w:val="none"/>
          <w14:textFill>
            <w14:solidFill>
              <w14:schemeClr w14:val="tx1"/>
            </w14:solidFill>
          </w14:textFill>
        </w:rPr>
        <w:t>注意事项：</w:t>
      </w:r>
    </w:p>
    <w:p>
      <w:pPr>
        <w:widowControl/>
        <w:spacing w:line="360" w:lineRule="auto"/>
        <w:rPr>
          <w:rFonts w:hint="eastAsia" w:asciiTheme="minorEastAsia" w:hAnsiTheme="minorEastAsia" w:eastAsiaTheme="minorEastAsia" w:cstheme="minorEastAsia"/>
          <w:color w:val="000000" w:themeColor="text1"/>
          <w:sz w:val="20"/>
          <w:highlight w:val="none"/>
          <w14:textFill>
            <w14:solidFill>
              <w14:schemeClr w14:val="tx1"/>
            </w14:solidFill>
          </w14:textFill>
        </w:rPr>
      </w:pPr>
      <w:r>
        <w:rPr>
          <w:rFonts w:hint="eastAsia" w:asciiTheme="minorEastAsia" w:hAnsiTheme="minorEastAsia" w:eastAsiaTheme="minorEastAsia" w:cstheme="minorEastAsia"/>
          <w:color w:val="000000" w:themeColor="text1"/>
          <w:sz w:val="20"/>
          <w:highlight w:val="none"/>
          <w14:textFill>
            <w14:solidFill>
              <w14:schemeClr w14:val="tx1"/>
            </w14:solidFill>
          </w14:textFill>
        </w:rPr>
        <w:t>1、具体发车数量以实际发生量为准，招标人不做承诺；如遇场地变更、线路调整等特殊情况，线路定价由双方协商确认后以补充协议形式进行调整。</w:t>
      </w:r>
    </w:p>
    <w:p>
      <w:pPr>
        <w:spacing w:line="360" w:lineRule="auto"/>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1.3.2日常运营细则</w:t>
      </w:r>
    </w:p>
    <w:p>
      <w:pPr>
        <w:spacing w:line="360" w:lineRule="auto"/>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详细参照附件2《</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运输公司管理办法</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《供应商月度考核表》</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相关内容</w:t>
      </w:r>
    </w:p>
    <w:p>
      <w:pPr>
        <w:pStyle w:val="66"/>
        <w:rPr>
          <w:rFonts w:hint="eastAsia" w:asciiTheme="minorEastAsia" w:hAnsiTheme="minorEastAsia" w:eastAsiaTheme="minorEastAsia" w:cstheme="minorEastAsia"/>
          <w:color w:val="000000" w:themeColor="text1"/>
          <w:kern w:val="2"/>
          <w:szCs w:val="21"/>
          <w14:textFill>
            <w14:solidFill>
              <w14:schemeClr w14:val="tx1"/>
            </w14:solidFill>
          </w14:textFill>
        </w:rPr>
      </w:pPr>
      <w:r>
        <w:rPr>
          <w:rFonts w:hint="eastAsia" w:asciiTheme="minorEastAsia" w:hAnsiTheme="minorEastAsia" w:eastAsiaTheme="minorEastAsia" w:cstheme="minorEastAsia"/>
          <w:color w:val="000000" w:themeColor="text1"/>
          <w:kern w:val="2"/>
          <w:szCs w:val="21"/>
          <w14:textFill>
            <w14:solidFill>
              <w14:schemeClr w14:val="tx1"/>
            </w14:solidFill>
          </w14:textFill>
        </w:rPr>
        <w:t>1.3.3</w:t>
      </w:r>
      <w:r>
        <w:rPr>
          <w:rFonts w:hint="eastAsia" w:asciiTheme="minorEastAsia" w:hAnsiTheme="minorEastAsia" w:eastAsiaTheme="minorEastAsia" w:cstheme="minorEastAsia"/>
          <w:color w:val="000000" w:themeColor="text1"/>
          <w:szCs w:val="21"/>
          <w14:textFill>
            <w14:solidFill>
              <w14:schemeClr w14:val="tx1"/>
            </w14:solidFill>
          </w14:textFill>
        </w:rPr>
        <w:t>服务期限：服务期限为一年</w:t>
      </w:r>
      <w:r>
        <w:rPr>
          <w:rFonts w:hint="eastAsia" w:asciiTheme="minorEastAsia" w:hAnsiTheme="minorEastAsia" w:eastAsiaTheme="minorEastAsia" w:cstheme="minorEastAsia"/>
          <w:color w:val="000000" w:themeColor="text1"/>
          <w:kern w:val="2"/>
          <w:szCs w:val="21"/>
          <w14:textFill>
            <w14:solidFill>
              <w14:schemeClr w14:val="tx1"/>
            </w14:solidFill>
          </w14:textFill>
        </w:rPr>
        <w:t>。</w:t>
      </w:r>
    </w:p>
    <w:p>
      <w:pPr>
        <w:spacing w:line="360" w:lineRule="auto"/>
        <w:jc w:val="lef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1.3.4报价要求：包含但不限于用于本项目的运费、燃油费、过桥过路费、人工成本、固定资产成本、设备设施、交通工具维护成本、保险、税费、因断路施工造成车辆绕行产生的费用以及其他成本、费用和营业外支出等一切费用，并已考虑淡旺季、节假日等因素。</w:t>
      </w:r>
    </w:p>
    <w:p>
      <w:pPr>
        <w:pStyle w:val="87"/>
        <w:ind w:firstLine="0" w:firstLineChars="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*注：凡参与投标者，视为认可甲方附件内全部要求及条款</w:t>
      </w:r>
    </w:p>
    <w:p>
      <w:pPr>
        <w:pStyle w:val="3"/>
        <w:rPr>
          <w:rFonts w:hint="eastAsia" w:asciiTheme="minorEastAsia" w:hAnsiTheme="minorEastAsia" w:eastAsiaTheme="minorEastAsia" w:cstheme="minorEastAsia"/>
          <w:color w:val="000000" w:themeColor="text1"/>
          <w14:textFill>
            <w14:solidFill>
              <w14:schemeClr w14:val="tx1"/>
            </w14:solidFill>
          </w14:textFill>
        </w:rPr>
      </w:pPr>
      <w:bookmarkStart w:id="25" w:name="_Toc9902"/>
      <w:bookmarkStart w:id="26" w:name="_Toc31677"/>
      <w:bookmarkStart w:id="27" w:name="_Toc14383"/>
      <w:bookmarkStart w:id="28" w:name="_Toc6641"/>
      <w:bookmarkStart w:id="29" w:name="_Toc25745"/>
      <w:bookmarkStart w:id="30" w:name="_Toc17054"/>
      <w:r>
        <w:rPr>
          <w:rFonts w:hint="eastAsia" w:asciiTheme="minorEastAsia" w:hAnsiTheme="minorEastAsia" w:eastAsiaTheme="minorEastAsia" w:cstheme="minorEastAsia"/>
          <w:color w:val="000000" w:themeColor="text1"/>
          <w14:textFill>
            <w14:solidFill>
              <w14:schemeClr w14:val="tx1"/>
            </w14:solidFill>
          </w14:textFill>
        </w:rPr>
        <w:t>2、投标人资格要求</w:t>
      </w:r>
      <w:bookmarkEnd w:id="22"/>
      <w:bookmarkEnd w:id="23"/>
      <w:bookmarkEnd w:id="24"/>
      <w:bookmarkEnd w:id="25"/>
      <w:bookmarkEnd w:id="26"/>
      <w:bookmarkEnd w:id="27"/>
      <w:bookmarkEnd w:id="28"/>
      <w:bookmarkEnd w:id="29"/>
      <w:bookmarkEnd w:id="30"/>
      <w:bookmarkStart w:id="31" w:name="_Toc319394715"/>
      <w:bookmarkStart w:id="32" w:name="_Toc319769474"/>
      <w:bookmarkStart w:id="33" w:name="_Toc184704556"/>
    </w:p>
    <w:bookmarkEnd w:id="31"/>
    <w:bookmarkEnd w:id="32"/>
    <w:bookmarkEnd w:id="33"/>
    <w:p>
      <w:pPr>
        <w:pStyle w:val="18"/>
        <w:spacing w:line="360" w:lineRule="auto"/>
        <w:rPr>
          <w:rFonts w:hint="eastAsia" w:asciiTheme="minorEastAsia" w:hAnsiTheme="minorEastAsia" w:eastAsiaTheme="minorEastAsia" w:cstheme="minorEastAsia"/>
          <w:b/>
          <w:bCs/>
          <w:color w:val="000000" w:themeColor="text1"/>
          <w14:textFill>
            <w14:solidFill>
              <w14:schemeClr w14:val="tx1"/>
            </w14:solidFill>
          </w14:textFill>
        </w:rPr>
      </w:pPr>
      <w:bookmarkStart w:id="34" w:name="_Toc16673"/>
      <w:bookmarkStart w:id="35" w:name="_Toc4965"/>
      <w:bookmarkStart w:id="36" w:name="_Toc10529"/>
      <w:r>
        <w:rPr>
          <w:rFonts w:hint="eastAsia" w:asciiTheme="minorEastAsia" w:hAnsiTheme="minorEastAsia" w:eastAsiaTheme="minorEastAsia" w:cstheme="minorEastAsia"/>
          <w:b/>
          <w:bCs/>
          <w:color w:val="000000" w:themeColor="text1"/>
          <w14:textFill>
            <w14:solidFill>
              <w14:schemeClr w14:val="tx1"/>
            </w14:solidFill>
          </w14:textFill>
        </w:rPr>
        <w:t>2.1资格条件</w:t>
      </w:r>
      <w:bookmarkEnd w:id="34"/>
      <w:bookmarkEnd w:id="35"/>
      <w:bookmarkEnd w:id="36"/>
    </w:p>
    <w:p>
      <w:pPr>
        <w:numPr>
          <w:ilvl w:val="0"/>
          <w:numId w:val="5"/>
        </w:numPr>
        <w:spacing w:line="360" w:lineRule="auto"/>
        <w:ind w:left="0" w:firstLine="420" w:firstLineChars="200"/>
        <w:jc w:val="left"/>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投标人为在中华人民共和国境内登记注册、具有独立法人资格、根据中华人民共和国有关法律合法成立并存在的企业，或有总公司法人授权的分公司。</w:t>
      </w:r>
    </w:p>
    <w:p>
      <w:pPr>
        <w:numPr>
          <w:ilvl w:val="0"/>
          <w:numId w:val="5"/>
        </w:numPr>
        <w:spacing w:line="360" w:lineRule="auto"/>
        <w:ind w:left="0" w:firstLine="420" w:firstLineChars="200"/>
        <w:jc w:val="left"/>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注册资金必须达</w:t>
      </w:r>
      <w:r>
        <w:rPr>
          <w:rFonts w:hint="eastAsia" w:asciiTheme="minorEastAsia" w:hAnsiTheme="minorEastAsia" w:eastAsiaTheme="minorEastAsia" w:cstheme="minorEastAsia"/>
          <w:color w:val="000000" w:themeColor="text1"/>
          <w:szCs w:val="22"/>
          <w:highlight w:val="none"/>
          <w14:textFill>
            <w14:solidFill>
              <w14:schemeClr w14:val="tx1"/>
            </w14:solidFill>
          </w14:textFill>
        </w:rPr>
        <w:t>到50</w:t>
      </w:r>
      <w:r>
        <w:rPr>
          <w:rFonts w:hint="eastAsia" w:asciiTheme="minorEastAsia" w:hAnsiTheme="minorEastAsia" w:eastAsiaTheme="minorEastAsia" w:cstheme="minorEastAsia"/>
          <w:color w:val="000000" w:themeColor="text1"/>
          <w:szCs w:val="22"/>
          <w14:textFill>
            <w14:solidFill>
              <w14:schemeClr w14:val="tx1"/>
            </w14:solidFill>
          </w14:textFill>
        </w:rPr>
        <w:t>万元，分公司投标人以所代表的总公司注册资本为准。</w:t>
      </w:r>
    </w:p>
    <w:p>
      <w:pPr>
        <w:numPr>
          <w:ilvl w:val="0"/>
          <w:numId w:val="5"/>
        </w:numPr>
        <w:spacing w:line="360" w:lineRule="auto"/>
        <w:ind w:left="0" w:firstLine="420" w:firstLineChars="200"/>
        <w:jc w:val="left"/>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投标人须具有有效的《道路运输许可证》；</w:t>
      </w:r>
    </w:p>
    <w:p>
      <w:pPr>
        <w:numPr>
          <w:ilvl w:val="0"/>
          <w:numId w:val="5"/>
        </w:numPr>
        <w:spacing w:line="360" w:lineRule="auto"/>
        <w:ind w:left="0" w:firstLine="420" w:firstLineChars="200"/>
        <w:jc w:val="left"/>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投标人为增值税一般纳税人，并应承诺中标后向招标人开具符合招标人要求的增值税专用发票。</w:t>
      </w:r>
    </w:p>
    <w:p>
      <w:pPr>
        <w:numPr>
          <w:ilvl w:val="0"/>
          <w:numId w:val="5"/>
        </w:numPr>
        <w:spacing w:line="360" w:lineRule="auto"/>
        <w:ind w:left="0" w:firstLine="420" w:firstLineChars="200"/>
        <w:jc w:val="left"/>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投标人未被列入“信用中国”网站（www.creditchina.gov.cn）、“失信被执行人”、“重大税收违法失信主体”。</w:t>
      </w:r>
    </w:p>
    <w:p>
      <w:pPr>
        <w:numPr>
          <w:ilvl w:val="0"/>
          <w:numId w:val="5"/>
        </w:numPr>
        <w:spacing w:line="360" w:lineRule="auto"/>
        <w:ind w:left="0" w:firstLine="420" w:firstLineChars="200"/>
        <w:jc w:val="left"/>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本项目不接受联合体投标，并且不得将本项目内容以任何方式进行转包、分包。</w:t>
      </w:r>
      <w:bookmarkStart w:id="37" w:name="_Toc15100"/>
      <w:bookmarkStart w:id="38" w:name="_Toc6433"/>
    </w:p>
    <w:bookmarkEnd w:id="37"/>
    <w:bookmarkEnd w:id="38"/>
    <w:p>
      <w:pPr>
        <w:pStyle w:val="3"/>
        <w:numPr>
          <w:ilvl w:val="0"/>
          <w:numId w:val="6"/>
        </w:numPr>
        <w:rPr>
          <w:rFonts w:hint="eastAsia" w:asciiTheme="minorEastAsia" w:hAnsiTheme="minorEastAsia" w:eastAsiaTheme="minorEastAsia" w:cstheme="minorEastAsia"/>
          <w:color w:val="000000" w:themeColor="text1"/>
          <w:szCs w:val="22"/>
          <w:highlight w:val="none"/>
          <w14:textFill>
            <w14:solidFill>
              <w14:schemeClr w14:val="tx1"/>
            </w14:solidFill>
          </w14:textFill>
        </w:rPr>
      </w:pPr>
      <w:bookmarkStart w:id="39" w:name="_Toc10125"/>
      <w:bookmarkStart w:id="40" w:name="_Toc8076"/>
      <w:bookmarkStart w:id="41" w:name="_Toc19736"/>
      <w:bookmarkStart w:id="42" w:name="_Toc5452"/>
      <w:r>
        <w:rPr>
          <w:rFonts w:hint="eastAsia" w:asciiTheme="minorEastAsia" w:hAnsiTheme="minorEastAsia" w:eastAsiaTheme="minorEastAsia" w:cstheme="minorEastAsia"/>
          <w:color w:val="000000" w:themeColor="text1"/>
          <w:szCs w:val="22"/>
          <w:highlight w:val="none"/>
          <w14:textFill>
            <w14:solidFill>
              <w14:schemeClr w14:val="tx1"/>
            </w14:solidFill>
          </w14:textFill>
        </w:rPr>
        <w:t>投标文件的递交</w:t>
      </w:r>
      <w:bookmarkEnd w:id="39"/>
    </w:p>
    <w:p>
      <w:pPr>
        <w:numPr>
          <w:ilvl w:val="0"/>
          <w:numId w:val="0"/>
        </w:numPr>
        <w:adjustRightInd w:val="0"/>
        <w:snapToGrid w:val="0"/>
        <w:rPr>
          <w:color w:val="auto"/>
          <w:highlight w:val="none"/>
        </w:rPr>
      </w:pPr>
      <w:r>
        <w:rPr>
          <w:rFonts w:hint="eastAsia"/>
          <w:color w:val="auto"/>
          <w:highlight w:val="none"/>
          <w:lang w:val="en-US" w:eastAsia="zh-CN"/>
        </w:rPr>
        <w:t>3.1</w:t>
      </w:r>
      <w:r>
        <w:rPr>
          <w:color w:val="auto"/>
          <w:highlight w:val="none"/>
        </w:rPr>
        <w:t>资格标书</w:t>
      </w:r>
      <w:r>
        <w:rPr>
          <w:rFonts w:hint="eastAsia"/>
          <w:color w:val="auto"/>
          <w:highlight w:val="none"/>
          <w:lang w:val="en-US" w:eastAsia="zh-CN"/>
        </w:rPr>
        <w:t>及</w:t>
      </w:r>
      <w:r>
        <w:rPr>
          <w:color w:val="auto"/>
          <w:highlight w:val="none"/>
        </w:rPr>
        <w:t>价格标书须密封，封口处加盖公章</w:t>
      </w:r>
      <w:r>
        <w:rPr>
          <w:rFonts w:hint="eastAsia"/>
          <w:color w:val="auto"/>
          <w:highlight w:val="none"/>
          <w:lang w:eastAsia="zh-CN"/>
        </w:rPr>
        <w:t>。</w:t>
      </w:r>
      <w:r>
        <w:rPr>
          <w:rFonts w:hint="eastAsia"/>
          <w:color w:val="auto"/>
          <w:highlight w:val="none"/>
        </w:rPr>
        <w:t>封印模板（请参照图示）</w:t>
      </w:r>
      <w:r>
        <w:rPr>
          <w:color w:val="auto"/>
          <w:highlight w:val="none"/>
        </w:rPr>
        <w:t>。</w:t>
      </w:r>
    </w:p>
    <w:p>
      <w:pPr>
        <w:numPr>
          <w:ilvl w:val="0"/>
          <w:numId w:val="0"/>
        </w:numPr>
        <w:adjustRightInd w:val="0"/>
        <w:snapToGrid w:val="0"/>
        <w:ind w:firstLine="420" w:firstLineChars="200"/>
        <w:rPr>
          <w:color w:val="00B050"/>
          <w:highlight w:val="yellow"/>
        </w:rPr>
      </w:pPr>
      <w:r>
        <w:rPr>
          <w:rFonts w:hint="eastAsia" w:ascii="宋体" w:hAnsi="宋体" w:eastAsia="宋体" w:cs="宋体"/>
        </w:rPr>
        <w:drawing>
          <wp:anchor distT="0" distB="0" distL="114300" distR="114300" simplePos="0" relativeHeight="251661312" behindDoc="0" locked="0" layoutInCell="1" allowOverlap="1">
            <wp:simplePos x="0" y="0"/>
            <wp:positionH relativeFrom="column">
              <wp:posOffset>2352040</wp:posOffset>
            </wp:positionH>
            <wp:positionV relativeFrom="paragraph">
              <wp:posOffset>95250</wp:posOffset>
            </wp:positionV>
            <wp:extent cx="1802130" cy="2016125"/>
            <wp:effectExtent l="0" t="0" r="7620" b="3175"/>
            <wp:wrapSquare wrapText="bothSides"/>
            <wp:docPr id="2" name="图片 3" descr="1647392725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47392725913"/>
                    <pic:cNvPicPr>
                      <a:picLocks noChangeAspect="1"/>
                    </pic:cNvPicPr>
                  </pic:nvPicPr>
                  <pic:blipFill>
                    <a:blip r:embed="rId6"/>
                    <a:stretch>
                      <a:fillRect/>
                    </a:stretch>
                  </pic:blipFill>
                  <pic:spPr>
                    <a:xfrm>
                      <a:off x="0" y="0"/>
                      <a:ext cx="1802130" cy="2016125"/>
                    </a:xfrm>
                    <a:prstGeom prst="rect">
                      <a:avLst/>
                    </a:prstGeom>
                    <a:noFill/>
                    <a:ln>
                      <a:noFill/>
                    </a:ln>
                  </pic:spPr>
                </pic:pic>
              </a:graphicData>
            </a:graphic>
          </wp:anchor>
        </w:drawing>
      </w:r>
      <w:r>
        <w:rPr>
          <w:rFonts w:hint="eastAsia" w:ascii="宋体" w:hAnsi="宋体" w:eastAsia="宋体" w:cs="宋体"/>
        </w:rPr>
        <w:drawing>
          <wp:anchor distT="0" distB="0" distL="114300" distR="114300" simplePos="0" relativeHeight="251660288" behindDoc="0" locked="0" layoutInCell="1" allowOverlap="1">
            <wp:simplePos x="0" y="0"/>
            <wp:positionH relativeFrom="column">
              <wp:posOffset>344805</wp:posOffset>
            </wp:positionH>
            <wp:positionV relativeFrom="paragraph">
              <wp:posOffset>48260</wp:posOffset>
            </wp:positionV>
            <wp:extent cx="1744345" cy="1997710"/>
            <wp:effectExtent l="0" t="0" r="8255" b="2540"/>
            <wp:wrapSquare wrapText="bothSides"/>
            <wp:docPr id="1" name="图片 2" descr="1647392725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647392725906"/>
                    <pic:cNvPicPr>
                      <a:picLocks noChangeAspect="1"/>
                    </pic:cNvPicPr>
                  </pic:nvPicPr>
                  <pic:blipFill>
                    <a:blip r:embed="rId7"/>
                    <a:stretch>
                      <a:fillRect/>
                    </a:stretch>
                  </pic:blipFill>
                  <pic:spPr>
                    <a:xfrm>
                      <a:off x="0" y="0"/>
                      <a:ext cx="1744345" cy="1997710"/>
                    </a:xfrm>
                    <a:prstGeom prst="rect">
                      <a:avLst/>
                    </a:prstGeom>
                    <a:noFill/>
                    <a:ln>
                      <a:noFill/>
                    </a:ln>
                  </pic:spPr>
                </pic:pic>
              </a:graphicData>
            </a:graphic>
          </wp:anchor>
        </w:drawing>
      </w:r>
    </w:p>
    <w:p>
      <w:pPr>
        <w:numPr>
          <w:ilvl w:val="0"/>
          <w:numId w:val="0"/>
        </w:numPr>
        <w:adjustRightInd w:val="0"/>
        <w:snapToGrid w:val="0"/>
        <w:ind w:firstLine="420" w:firstLineChars="200"/>
        <w:rPr>
          <w:color w:val="00B050"/>
          <w:highlight w:val="yellow"/>
        </w:rPr>
      </w:pPr>
    </w:p>
    <w:p>
      <w:pPr>
        <w:numPr>
          <w:ilvl w:val="0"/>
          <w:numId w:val="0"/>
        </w:numPr>
        <w:adjustRightInd w:val="0"/>
        <w:snapToGrid w:val="0"/>
        <w:ind w:firstLine="420" w:firstLineChars="200"/>
        <w:rPr>
          <w:color w:val="00B050"/>
          <w:highlight w:val="yellow"/>
        </w:rPr>
      </w:pPr>
    </w:p>
    <w:p>
      <w:pPr>
        <w:numPr>
          <w:ilvl w:val="0"/>
          <w:numId w:val="0"/>
        </w:numPr>
        <w:adjustRightInd w:val="0"/>
        <w:snapToGrid w:val="0"/>
        <w:ind w:firstLine="420" w:firstLineChars="200"/>
        <w:rPr>
          <w:color w:val="00B050"/>
          <w:highlight w:val="yellow"/>
        </w:rPr>
      </w:pPr>
    </w:p>
    <w:p>
      <w:pPr>
        <w:numPr>
          <w:ilvl w:val="0"/>
          <w:numId w:val="0"/>
        </w:numPr>
        <w:adjustRightInd w:val="0"/>
        <w:snapToGrid w:val="0"/>
        <w:ind w:firstLine="420" w:firstLineChars="200"/>
        <w:rPr>
          <w:color w:val="00B050"/>
          <w:highlight w:val="yellow"/>
        </w:rPr>
      </w:pPr>
    </w:p>
    <w:p>
      <w:pPr>
        <w:numPr>
          <w:ilvl w:val="0"/>
          <w:numId w:val="0"/>
        </w:numPr>
        <w:adjustRightInd w:val="0"/>
        <w:snapToGrid w:val="0"/>
        <w:ind w:firstLine="420" w:firstLineChars="200"/>
        <w:rPr>
          <w:color w:val="00B050"/>
          <w:highlight w:val="yellow"/>
        </w:rPr>
      </w:pPr>
    </w:p>
    <w:p>
      <w:pPr>
        <w:numPr>
          <w:ilvl w:val="0"/>
          <w:numId w:val="0"/>
        </w:numPr>
        <w:adjustRightInd w:val="0"/>
        <w:snapToGrid w:val="0"/>
        <w:ind w:firstLine="420" w:firstLineChars="200"/>
        <w:rPr>
          <w:color w:val="00B050"/>
          <w:highlight w:val="yellow"/>
        </w:rPr>
      </w:pPr>
    </w:p>
    <w:p>
      <w:pPr>
        <w:numPr>
          <w:ilvl w:val="0"/>
          <w:numId w:val="0"/>
        </w:numPr>
        <w:adjustRightInd w:val="0"/>
        <w:snapToGrid w:val="0"/>
        <w:ind w:firstLine="420" w:firstLineChars="200"/>
        <w:rPr>
          <w:color w:val="00B050"/>
          <w:highlight w:val="yellow"/>
        </w:rPr>
      </w:pPr>
    </w:p>
    <w:p>
      <w:pPr>
        <w:numPr>
          <w:ilvl w:val="0"/>
          <w:numId w:val="0"/>
        </w:numPr>
        <w:adjustRightInd w:val="0"/>
        <w:snapToGrid w:val="0"/>
        <w:ind w:firstLine="420" w:firstLineChars="200"/>
        <w:rPr>
          <w:color w:val="00B050"/>
          <w:highlight w:val="yellow"/>
        </w:rPr>
      </w:pPr>
    </w:p>
    <w:p>
      <w:pPr>
        <w:numPr>
          <w:ilvl w:val="0"/>
          <w:numId w:val="0"/>
        </w:numPr>
        <w:adjustRightInd w:val="0"/>
        <w:snapToGrid w:val="0"/>
        <w:ind w:firstLine="420" w:firstLineChars="200"/>
        <w:rPr>
          <w:color w:val="00B050"/>
          <w:highlight w:val="yellow"/>
        </w:rPr>
      </w:pPr>
    </w:p>
    <w:p>
      <w:pPr>
        <w:numPr>
          <w:ilvl w:val="0"/>
          <w:numId w:val="0"/>
        </w:numPr>
        <w:adjustRightInd w:val="0"/>
        <w:snapToGrid w:val="0"/>
        <w:ind w:firstLine="420" w:firstLineChars="200"/>
        <w:rPr>
          <w:color w:val="00B050"/>
          <w:highlight w:val="yellow"/>
        </w:rPr>
      </w:pPr>
    </w:p>
    <w:p>
      <w:pPr>
        <w:numPr>
          <w:ilvl w:val="0"/>
          <w:numId w:val="0"/>
        </w:numPr>
        <w:adjustRightInd w:val="0"/>
        <w:snapToGrid w:val="0"/>
        <w:ind w:firstLine="420" w:firstLineChars="200"/>
        <w:rPr>
          <w:color w:val="00B050"/>
          <w:highlight w:val="yellow"/>
        </w:rPr>
      </w:pPr>
    </w:p>
    <w:p>
      <w:pPr>
        <w:numPr>
          <w:ilvl w:val="0"/>
          <w:numId w:val="0"/>
        </w:numPr>
        <w:adjustRightInd w:val="0"/>
        <w:snapToGrid w:val="0"/>
        <w:ind w:firstLine="420" w:firstLineChars="200"/>
        <w:rPr>
          <w:color w:val="auto"/>
          <w:highlight w:val="none"/>
        </w:rPr>
      </w:pPr>
      <w:r>
        <w:rPr>
          <w:color w:val="00B050"/>
          <w:highlight w:val="yellow"/>
        </w:rPr>
        <w:br w:type="textWrapping"/>
      </w:r>
      <w:r>
        <w:rPr>
          <w:rFonts w:hint="eastAsia"/>
          <w:color w:val="auto"/>
          <w:highlight w:val="none"/>
          <w:lang w:val="en-US" w:eastAsia="zh-CN"/>
        </w:rPr>
        <w:t>3.2</w:t>
      </w:r>
      <w:r>
        <w:rPr>
          <w:color w:val="auto"/>
          <w:highlight w:val="none"/>
        </w:rPr>
        <w:t>文件递交截止时间：202</w:t>
      </w:r>
      <w:r>
        <w:rPr>
          <w:rFonts w:hint="eastAsia"/>
          <w:color w:val="auto"/>
          <w:highlight w:val="none"/>
          <w:lang w:val="en-US" w:eastAsia="zh-CN"/>
        </w:rPr>
        <w:t>6</w:t>
      </w:r>
      <w:r>
        <w:rPr>
          <w:color w:val="auto"/>
          <w:highlight w:val="none"/>
        </w:rPr>
        <w:t>年</w:t>
      </w:r>
      <w:r>
        <w:rPr>
          <w:rFonts w:hint="eastAsia"/>
          <w:color w:val="auto"/>
          <w:highlight w:val="none"/>
          <w:lang w:val="en-US" w:eastAsia="zh-CN"/>
        </w:rPr>
        <w:t>6</w:t>
      </w:r>
      <w:r>
        <w:rPr>
          <w:color w:val="auto"/>
          <w:highlight w:val="none"/>
        </w:rPr>
        <w:t>月</w:t>
      </w:r>
      <w:r>
        <w:rPr>
          <w:rFonts w:hint="eastAsia"/>
          <w:color w:val="auto"/>
          <w:highlight w:val="none"/>
          <w:lang w:val="en-US" w:eastAsia="zh-CN"/>
        </w:rPr>
        <w:t>20</w:t>
      </w:r>
      <w:r>
        <w:rPr>
          <w:color w:val="auto"/>
          <w:highlight w:val="none"/>
        </w:rPr>
        <w:t>日</w:t>
      </w:r>
      <w:r>
        <w:rPr>
          <w:rFonts w:hint="eastAsia"/>
          <w:color w:val="auto"/>
          <w:highlight w:val="none"/>
          <w:lang w:val="en-US" w:eastAsia="zh-CN"/>
        </w:rPr>
        <w:t>18</w:t>
      </w:r>
      <w:r>
        <w:rPr>
          <w:color w:val="auto"/>
          <w:highlight w:val="none"/>
        </w:rPr>
        <w:t>:00前（以签收时间为准），逾期视为弃权。</w:t>
      </w:r>
    </w:p>
    <w:p>
      <w:pPr>
        <w:pStyle w:val="196"/>
        <w:numPr>
          <w:ilvl w:val="0"/>
          <w:numId w:val="0"/>
        </w:numPr>
        <w:ind w:left="420" w:hanging="420" w:hangingChars="200"/>
        <w:rPr>
          <w:rFonts w:hint="eastAsia" w:cs="Times New Roman"/>
          <w:color w:val="auto"/>
          <w:kern w:val="2"/>
          <w:sz w:val="21"/>
          <w:highlight w:val="none"/>
          <w:lang w:val="en-US" w:eastAsia="zh-CN" w:bidi="ar-SA"/>
        </w:rPr>
      </w:pPr>
      <w:r>
        <w:rPr>
          <w:rFonts w:hint="eastAsia" w:ascii="Calibri" w:hAnsi="Calibri" w:eastAsia="宋体" w:cs="Times New Roman"/>
          <w:color w:val="auto"/>
          <w:kern w:val="2"/>
          <w:sz w:val="21"/>
          <w:highlight w:val="none"/>
          <w:lang w:val="en-US" w:eastAsia="zh-CN" w:bidi="ar-SA"/>
        </w:rPr>
        <w:t>3.3标书接收</w:t>
      </w:r>
      <w:r>
        <w:rPr>
          <w:rFonts w:hint="eastAsia" w:cs="Times New Roman"/>
          <w:color w:val="auto"/>
          <w:kern w:val="2"/>
          <w:sz w:val="21"/>
          <w:highlight w:val="none"/>
          <w:lang w:val="en-US" w:eastAsia="zh-CN" w:bidi="ar-SA"/>
        </w:rPr>
        <w:t>地址及联系方式</w:t>
      </w:r>
      <w:r>
        <w:rPr>
          <w:rFonts w:hint="eastAsia" w:ascii="Calibri" w:hAnsi="Calibri" w:eastAsia="宋体" w:cs="Times New Roman"/>
          <w:color w:val="auto"/>
          <w:kern w:val="2"/>
          <w:sz w:val="21"/>
          <w:highlight w:val="none"/>
          <w:lang w:val="en-US" w:eastAsia="zh-CN" w:bidi="ar-SA"/>
        </w:rPr>
        <w:t>：</w:t>
      </w:r>
      <w:r>
        <w:rPr>
          <w:rFonts w:hint="eastAsia" w:cs="Times New Roman"/>
          <w:color w:val="auto"/>
          <w:kern w:val="2"/>
          <w:sz w:val="21"/>
          <w:highlight w:val="none"/>
          <w:lang w:val="en-US" w:eastAsia="zh-CN" w:bidi="ar-SA"/>
        </w:rPr>
        <w:t>南京市六合区龙须湖路9号  谢春阳</w:t>
      </w:r>
      <w:r>
        <w:rPr>
          <w:rFonts w:hint="eastAsia" w:ascii="Calibri" w:hAnsi="Calibri" w:eastAsia="宋体" w:cs="Times New Roman"/>
          <w:color w:val="auto"/>
          <w:kern w:val="2"/>
          <w:sz w:val="21"/>
          <w:highlight w:val="none"/>
          <w:lang w:val="en-US" w:eastAsia="zh-CN" w:bidi="ar-SA"/>
        </w:rPr>
        <w:t>（收），电话：</w:t>
      </w:r>
      <w:r>
        <w:rPr>
          <w:rFonts w:hint="eastAsia" w:cs="Times New Roman"/>
          <w:color w:val="auto"/>
          <w:kern w:val="2"/>
          <w:sz w:val="21"/>
          <w:highlight w:val="none"/>
          <w:lang w:val="en-US" w:eastAsia="zh-CN" w:bidi="ar-SA"/>
        </w:rPr>
        <w:t>18913026162</w:t>
      </w:r>
      <w:r>
        <w:rPr>
          <w:rFonts w:hint="eastAsia" w:ascii="Calibri" w:hAnsi="Calibri" w:eastAsia="宋体" w:cs="Times New Roman"/>
          <w:color w:val="auto"/>
          <w:kern w:val="2"/>
          <w:sz w:val="21"/>
          <w:highlight w:val="none"/>
          <w:lang w:val="en-US" w:eastAsia="zh-CN" w:bidi="ar-SA"/>
        </w:rPr>
        <w:t xml:space="preserve"> </w:t>
      </w:r>
      <w:r>
        <w:rPr>
          <w:rFonts w:hint="eastAsia" w:cs="Times New Roman"/>
          <w:color w:val="auto"/>
          <w:kern w:val="2"/>
          <w:sz w:val="21"/>
          <w:highlight w:val="none"/>
          <w:lang w:val="en-US" w:eastAsia="zh-CN" w:bidi="ar-SA"/>
        </w:rPr>
        <w:t xml:space="preserve">          </w:t>
      </w:r>
    </w:p>
    <w:bookmarkEnd w:id="40"/>
    <w:bookmarkEnd w:id="41"/>
    <w:bookmarkEnd w:id="42"/>
    <w:p>
      <w:pPr>
        <w:pStyle w:val="3"/>
        <w:rPr>
          <w:rFonts w:hint="eastAsia" w:asciiTheme="minorEastAsia" w:hAnsiTheme="minorEastAsia" w:eastAsiaTheme="minorEastAsia" w:cstheme="minorEastAsia"/>
          <w:color w:val="000000" w:themeColor="text1"/>
          <w:szCs w:val="22"/>
          <w14:textFill>
            <w14:solidFill>
              <w14:schemeClr w14:val="tx1"/>
            </w14:solidFill>
          </w14:textFill>
        </w:rPr>
      </w:pPr>
      <w:bookmarkStart w:id="43" w:name="_Toc8496"/>
      <w:bookmarkStart w:id="44" w:name="_Toc10456"/>
      <w:bookmarkStart w:id="45" w:name="_Toc15480"/>
      <w:bookmarkStart w:id="46" w:name="_Toc24651"/>
      <w:bookmarkStart w:id="47" w:name="_Toc16531"/>
      <w:bookmarkStart w:id="48" w:name="_Toc30577"/>
      <w:r>
        <w:rPr>
          <w:rFonts w:hint="eastAsia" w:asciiTheme="minorEastAsia" w:hAnsiTheme="minorEastAsia" w:eastAsiaTheme="minorEastAsia" w:cstheme="minorEastAsia"/>
          <w:color w:val="000000" w:themeColor="text1"/>
          <w:szCs w:val="22"/>
          <w14:textFill>
            <w14:solidFill>
              <w14:schemeClr w14:val="tx1"/>
            </w14:solidFill>
          </w14:textFill>
        </w:rPr>
        <w:t>4、</w:t>
      </w:r>
      <w:bookmarkEnd w:id="43"/>
      <w:bookmarkEnd w:id="44"/>
      <w:bookmarkEnd w:id="45"/>
      <w:bookmarkEnd w:id="46"/>
      <w:bookmarkEnd w:id="47"/>
      <w:r>
        <w:rPr>
          <w:rFonts w:hint="eastAsia" w:asciiTheme="minorEastAsia" w:hAnsiTheme="minorEastAsia" w:eastAsiaTheme="minorEastAsia" w:cstheme="minorEastAsia"/>
          <w:color w:val="000000" w:themeColor="text1"/>
          <w:szCs w:val="22"/>
          <w14:textFill>
            <w14:solidFill>
              <w14:schemeClr w14:val="tx1"/>
            </w14:solidFill>
          </w14:textFill>
        </w:rPr>
        <w:t>时间一览表</w:t>
      </w:r>
      <w:bookmarkEnd w:id="48"/>
    </w:p>
    <w:p>
      <w:pPr>
        <w:pStyle w:val="19"/>
        <w:ind w:left="0" w:leftChars="0" w:firstLine="0" w:firstLineChars="0"/>
        <w:rPr>
          <w:rFonts w:hint="eastAsia" w:asciiTheme="minorEastAsia" w:hAnsiTheme="minorEastAsia" w:eastAsiaTheme="minorEastAsia" w:cstheme="minorEastAsia"/>
          <w:highlight w:val="none"/>
          <w:lang w:val="en-US"/>
        </w:rPr>
      </w:pPr>
      <w:r>
        <w:rPr>
          <w:rFonts w:hint="eastAsia" w:asciiTheme="minorEastAsia" w:hAnsiTheme="minorEastAsia" w:eastAsiaTheme="minorEastAsia" w:cstheme="minorEastAsia"/>
          <w:color w:val="000000" w:themeColor="text1"/>
          <w:highlight w:val="none"/>
          <w14:textFill>
            <w14:solidFill>
              <w14:schemeClr w14:val="tx1"/>
            </w14:solidFill>
          </w14:textFill>
        </w:rPr>
        <w:t>4.</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 xml:space="preserve">1 </w:t>
      </w:r>
      <w:r>
        <w:rPr>
          <w:rFonts w:hint="eastAsia" w:asciiTheme="minorEastAsia" w:hAnsiTheme="minorEastAsia" w:eastAsiaTheme="minorEastAsia" w:cstheme="minorEastAsia"/>
          <w:color w:val="000000" w:themeColor="text1"/>
          <w:highlight w:val="none"/>
          <w14:textFill>
            <w14:solidFill>
              <w14:schemeClr w14:val="tx1"/>
            </w14:solidFill>
          </w14:textFill>
        </w:rPr>
        <w:t>询价文件发放：202</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highlight w:val="none"/>
          <w14:textFill>
            <w14:solidFill>
              <w14:schemeClr w14:val="tx1"/>
            </w14:solidFill>
          </w14:textFill>
        </w:rPr>
        <w:t>年</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highlight w:val="none"/>
          <w14:textFill>
            <w14:solidFill>
              <w14:schemeClr w14:val="tx1"/>
            </w14:solidFill>
          </w14:textFill>
        </w:rPr>
        <w:t>月</w:t>
      </w:r>
      <w:r>
        <w:rPr>
          <w:rFonts w:hint="eastAsia" w:asciiTheme="minorEastAsia" w:hAnsiTheme="minorEastAsia" w:eastAsiaTheme="minorEastAsia" w:cstheme="minorEastAsia"/>
          <w:color w:val="auto"/>
          <w:highlight w:val="none"/>
          <w:lang w:val="en-US" w:eastAsia="zh-CN"/>
        </w:rPr>
        <w:t>3</w:t>
      </w:r>
      <w:r>
        <w:rPr>
          <w:rFonts w:hint="eastAsia" w:asciiTheme="minorEastAsia" w:hAnsiTheme="minorEastAsia" w:eastAsiaTheme="minorEastAsia" w:cstheme="minorEastAsia"/>
          <w:color w:val="000000" w:themeColor="text1"/>
          <w:highlight w:val="none"/>
          <w14:textFill>
            <w14:solidFill>
              <w14:schemeClr w14:val="tx1"/>
            </w14:solidFill>
          </w14:textFill>
        </w:rPr>
        <w:t>日</w:t>
      </w:r>
      <w:r>
        <w:rPr>
          <w:rFonts w:hint="eastAsia" w:asciiTheme="minorEastAsia" w:hAnsiTheme="minorEastAsia" w:eastAsiaTheme="minorEastAsia" w:cstheme="minorEastAsia"/>
          <w:color w:val="000000" w:themeColor="text1"/>
          <w:highlight w:val="none"/>
          <w14:textFill>
            <w14:solidFill>
              <w14:schemeClr w14:val="tx1"/>
            </w14:solidFill>
          </w14:textFill>
        </w:rPr>
        <w:br w:type="textWrapping"/>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4.2 招标线上问答会：2026年6月</w:t>
      </w:r>
      <w:r>
        <w:rPr>
          <w:rFonts w:hint="eastAsia" w:asciiTheme="minorEastAsia" w:hAnsiTheme="minorEastAsia" w:eastAsiaTheme="minorEastAsia" w:cstheme="minorEastAsia"/>
          <w:color w:val="auto"/>
          <w:highlight w:val="none"/>
          <w:lang w:val="en-US" w:eastAsia="zh-CN"/>
        </w:rPr>
        <w:t>8</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日 14点至16点</w:t>
      </w:r>
    </w:p>
    <w:p>
      <w:pPr>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4.</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highlight w:val="none"/>
          <w14:textFill>
            <w14:solidFill>
              <w14:schemeClr w14:val="tx1"/>
            </w14:solidFill>
          </w14:textFill>
        </w:rPr>
        <w:t xml:space="preserve"> 询价文件递交截止时间：202</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highlight w:val="none"/>
          <w14:textFill>
            <w14:solidFill>
              <w14:schemeClr w14:val="tx1"/>
            </w14:solidFill>
          </w14:textFill>
        </w:rPr>
        <w:t>年</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highlight w:val="none"/>
          <w14:textFill>
            <w14:solidFill>
              <w14:schemeClr w14:val="tx1"/>
            </w14:solidFill>
          </w14:textFill>
        </w:rPr>
        <w:t>月</w:t>
      </w:r>
      <w:r>
        <w:rPr>
          <w:rFonts w:hint="eastAsia" w:asciiTheme="minorEastAsia" w:hAnsiTheme="minorEastAsia" w:eastAsiaTheme="minorEastAsia" w:cstheme="minorEastAsia"/>
          <w:color w:val="auto"/>
          <w:highlight w:val="none"/>
          <w:lang w:val="en-US" w:eastAsia="zh-CN"/>
        </w:rPr>
        <w:t>20</w:t>
      </w:r>
      <w:r>
        <w:rPr>
          <w:rFonts w:hint="eastAsia" w:asciiTheme="minorEastAsia" w:hAnsiTheme="minorEastAsia" w:eastAsiaTheme="minorEastAsia" w:cstheme="minorEastAsia"/>
          <w:color w:val="000000" w:themeColor="text1"/>
          <w:highlight w:val="none"/>
          <w14:textFill>
            <w14:solidFill>
              <w14:schemeClr w14:val="tx1"/>
            </w14:solidFill>
          </w14:textFill>
        </w:rPr>
        <w:t>日</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18</w:t>
      </w:r>
      <w:r>
        <w:rPr>
          <w:rFonts w:hint="eastAsia" w:asciiTheme="minorEastAsia" w:hAnsiTheme="minorEastAsia" w:eastAsiaTheme="minorEastAsia" w:cstheme="minorEastAsia"/>
          <w:color w:val="000000" w:themeColor="text1"/>
          <w:highlight w:val="none"/>
          <w14:textFill>
            <w14:solidFill>
              <w14:schemeClr w14:val="tx1"/>
            </w14:solidFill>
          </w14:textFill>
        </w:rPr>
        <w:t>点前</w:t>
      </w:r>
    </w:p>
    <w:p>
      <w:pPr>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4.</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highlight w:val="none"/>
          <w14:textFill>
            <w14:solidFill>
              <w14:schemeClr w14:val="tx1"/>
            </w14:solidFill>
          </w14:textFill>
        </w:rPr>
        <w:t xml:space="preserve"> 最终</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开标、</w:t>
      </w:r>
      <w:r>
        <w:rPr>
          <w:rFonts w:hint="eastAsia" w:asciiTheme="minorEastAsia" w:hAnsiTheme="minorEastAsia" w:eastAsiaTheme="minorEastAsia" w:cstheme="minorEastAsia"/>
          <w:color w:val="000000" w:themeColor="text1"/>
          <w:highlight w:val="none"/>
          <w14:textFill>
            <w14:solidFill>
              <w14:schemeClr w14:val="tx1"/>
            </w14:solidFill>
          </w14:textFill>
        </w:rPr>
        <w:t>结果公布时间：202</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highlight w:val="none"/>
          <w14:textFill>
            <w14:solidFill>
              <w14:schemeClr w14:val="tx1"/>
            </w14:solidFill>
          </w14:textFill>
        </w:rPr>
        <w:t>年</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highlight w:val="none"/>
          <w14:textFill>
            <w14:solidFill>
              <w14:schemeClr w14:val="tx1"/>
            </w14:solidFill>
          </w14:textFill>
        </w:rPr>
        <w:t>月</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22</w:t>
      </w:r>
      <w:r>
        <w:rPr>
          <w:rFonts w:hint="eastAsia" w:asciiTheme="minorEastAsia" w:hAnsiTheme="minorEastAsia" w:eastAsiaTheme="minorEastAsia" w:cstheme="minorEastAsia"/>
          <w:color w:val="000000" w:themeColor="text1"/>
          <w:highlight w:val="none"/>
          <w14:textFill>
            <w14:solidFill>
              <w14:schemeClr w14:val="tx1"/>
            </w14:solidFill>
          </w14:textFill>
        </w:rPr>
        <w:t>日</w:t>
      </w:r>
    </w:p>
    <w:p>
      <w:pPr>
        <w:pStyle w:val="3"/>
        <w:rPr>
          <w:rFonts w:hint="eastAsia" w:asciiTheme="minorEastAsia" w:hAnsiTheme="minorEastAsia" w:eastAsiaTheme="minorEastAsia" w:cstheme="minorEastAsia"/>
          <w:color w:val="000000" w:themeColor="text1"/>
          <w:szCs w:val="22"/>
          <w14:textFill>
            <w14:solidFill>
              <w14:schemeClr w14:val="tx1"/>
            </w14:solidFill>
          </w14:textFill>
        </w:rPr>
      </w:pPr>
      <w:bookmarkStart w:id="49" w:name="_Toc31356"/>
      <w:r>
        <w:rPr>
          <w:rFonts w:hint="eastAsia" w:asciiTheme="minorEastAsia" w:hAnsiTheme="minorEastAsia" w:eastAsiaTheme="minorEastAsia" w:cstheme="minorEastAsia"/>
          <w:color w:val="000000" w:themeColor="text1"/>
          <w:szCs w:val="22"/>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Cs w:val="22"/>
          <w14:textFill>
            <w14:solidFill>
              <w14:schemeClr w14:val="tx1"/>
            </w14:solidFill>
          </w14:textFill>
        </w:rPr>
        <w:t>、联系方式</w:t>
      </w:r>
      <w:bookmarkEnd w:id="49"/>
    </w:p>
    <w:tbl>
      <w:tblPr>
        <w:tblStyle w:val="46"/>
        <w:tblW w:w="9666" w:type="dxa"/>
        <w:tblInd w:w="0" w:type="dxa"/>
        <w:tblLayout w:type="fixed"/>
        <w:tblCellMar>
          <w:top w:w="0" w:type="dxa"/>
          <w:left w:w="108" w:type="dxa"/>
          <w:bottom w:w="0" w:type="dxa"/>
          <w:right w:w="108" w:type="dxa"/>
        </w:tblCellMar>
      </w:tblPr>
      <w:tblGrid>
        <w:gridCol w:w="9666"/>
      </w:tblGrid>
      <w:tr>
        <w:tblPrEx>
          <w:tblCellMar>
            <w:top w:w="0" w:type="dxa"/>
            <w:left w:w="108" w:type="dxa"/>
            <w:bottom w:w="0" w:type="dxa"/>
            <w:right w:w="108" w:type="dxa"/>
          </w:tblCellMar>
        </w:tblPrEx>
        <w:trPr>
          <w:trHeight w:val="418" w:hRule="atLeast"/>
        </w:trPr>
        <w:tc>
          <w:tcPr>
            <w:tcW w:w="9666" w:type="dxa"/>
            <w:vAlign w:val="center"/>
          </w:tcPr>
          <w:p>
            <w:pPr>
              <w:widowControl/>
              <w:spacing w:line="276" w:lineRule="auto"/>
              <w:jc w:val="left"/>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招标人：</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苏州康诚仓储有限公司</w:t>
            </w:r>
          </w:p>
        </w:tc>
      </w:tr>
      <w:tr>
        <w:tblPrEx>
          <w:tblCellMar>
            <w:top w:w="0" w:type="dxa"/>
            <w:left w:w="108" w:type="dxa"/>
            <w:bottom w:w="0" w:type="dxa"/>
            <w:right w:w="108" w:type="dxa"/>
          </w:tblCellMar>
        </w:tblPrEx>
        <w:trPr>
          <w:trHeight w:val="418" w:hRule="atLeast"/>
        </w:trPr>
        <w:tc>
          <w:tcPr>
            <w:tcW w:w="9666" w:type="dxa"/>
            <w:vAlign w:val="center"/>
          </w:tcPr>
          <w:p>
            <w:pPr>
              <w:widowControl/>
              <w:spacing w:line="276" w:lineRule="auto"/>
              <w:jc w:val="left"/>
              <w:rPr>
                <w:rFonts w:hint="default" w:asciiTheme="minorEastAsia" w:hAnsiTheme="minorEastAsia" w:eastAsiaTheme="minorEastAsia" w:cstheme="minorEastAsia"/>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地  址：</w:t>
            </w: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南京市六合区龙须湖路9号</w:t>
            </w:r>
          </w:p>
        </w:tc>
      </w:tr>
      <w:tr>
        <w:tblPrEx>
          <w:tblCellMar>
            <w:top w:w="0" w:type="dxa"/>
            <w:left w:w="108" w:type="dxa"/>
            <w:bottom w:w="0" w:type="dxa"/>
            <w:right w:w="108" w:type="dxa"/>
          </w:tblCellMar>
        </w:tblPrEx>
        <w:trPr>
          <w:trHeight w:val="418" w:hRule="atLeast"/>
        </w:trPr>
        <w:tc>
          <w:tcPr>
            <w:tcW w:w="9666" w:type="dxa"/>
            <w:vAlign w:val="center"/>
          </w:tcPr>
          <w:p>
            <w:pPr>
              <w:widowControl/>
              <w:spacing w:line="276" w:lineRule="auto"/>
              <w:jc w:val="left"/>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联 系 人：</w:t>
            </w: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谢春阳</w:t>
            </w:r>
          </w:p>
        </w:tc>
      </w:tr>
      <w:tr>
        <w:tblPrEx>
          <w:tblCellMar>
            <w:top w:w="0" w:type="dxa"/>
            <w:left w:w="108" w:type="dxa"/>
            <w:bottom w:w="0" w:type="dxa"/>
            <w:right w:w="108" w:type="dxa"/>
          </w:tblCellMar>
        </w:tblPrEx>
        <w:trPr>
          <w:trHeight w:val="494" w:hRule="atLeast"/>
        </w:trPr>
        <w:tc>
          <w:tcPr>
            <w:tcW w:w="9666" w:type="dxa"/>
            <w:vAlign w:val="center"/>
          </w:tcPr>
          <w:p>
            <w:pPr>
              <w:widowControl/>
              <w:spacing w:line="276" w:lineRule="auto"/>
              <w:jc w:val="left"/>
              <w:rPr>
                <w:rFonts w:hint="default" w:asciiTheme="minorEastAsia" w:hAnsiTheme="minorEastAsia" w:eastAsiaTheme="minorEastAsia" w:cstheme="minorEastAsia"/>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电 话：</w:t>
            </w: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18913026162</w:t>
            </w:r>
          </w:p>
        </w:tc>
      </w:tr>
      <w:tr>
        <w:tblPrEx>
          <w:tblCellMar>
            <w:top w:w="0" w:type="dxa"/>
            <w:left w:w="108" w:type="dxa"/>
            <w:bottom w:w="0" w:type="dxa"/>
            <w:right w:w="108" w:type="dxa"/>
          </w:tblCellMar>
        </w:tblPrEx>
        <w:trPr>
          <w:trHeight w:val="418" w:hRule="atLeast"/>
        </w:trPr>
        <w:tc>
          <w:tcPr>
            <w:tcW w:w="9666" w:type="dxa"/>
            <w:vAlign w:val="center"/>
          </w:tcPr>
          <w:p>
            <w:pPr>
              <w:widowControl/>
              <w:spacing w:line="276" w:lineRule="auto"/>
              <w:jc w:val="left"/>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电子邮件：</w:t>
            </w:r>
            <w:r>
              <w:rPr>
                <w:rFonts w:hint="eastAsia" w:asciiTheme="minorEastAsia" w:hAnsiTheme="minorEastAsia" w:eastAsiaTheme="minorEastAsia" w:cstheme="minorEastAsia"/>
                <w:color w:val="000000" w:themeColor="text1"/>
                <w:spacing w:val="2"/>
                <w:sz w:val="22"/>
                <w:szCs w:val="22"/>
                <w:highlight w:val="none"/>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2"/>
                <w:sz w:val="22"/>
                <w:szCs w:val="22"/>
                <w:highlight w:val="none"/>
                <w:lang w:val="en-US" w:eastAsia="zh-CN"/>
                <w14:textFill>
                  <w14:solidFill>
                    <w14:schemeClr w14:val="tx1"/>
                  </w14:solidFill>
                </w14:textFill>
              </w:rPr>
              <w:t>/</w:t>
            </w:r>
          </w:p>
        </w:tc>
      </w:tr>
      <w:tr>
        <w:tblPrEx>
          <w:tblCellMar>
            <w:top w:w="0" w:type="dxa"/>
            <w:left w:w="108" w:type="dxa"/>
            <w:bottom w:w="0" w:type="dxa"/>
            <w:right w:w="108" w:type="dxa"/>
          </w:tblCellMar>
        </w:tblPrEx>
        <w:trPr>
          <w:trHeight w:val="535" w:hRule="atLeast"/>
        </w:trPr>
        <w:tc>
          <w:tcPr>
            <w:tcW w:w="9666" w:type="dxa"/>
            <w:vAlign w:val="center"/>
          </w:tcPr>
          <w:p>
            <w:pPr>
              <w:widowControl/>
              <w:spacing w:line="276" w:lineRule="auto"/>
              <w:jc w:val="left"/>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Cs w:val="21"/>
                <w:highlight w:val="none"/>
                <w:lang w:val="en-US" w:eastAsia="zh-CN"/>
                <w14:textFill>
                  <w14:solidFill>
                    <w14:schemeClr w14:val="tx1"/>
                  </w14:solidFill>
                </w14:textFill>
              </w:rPr>
              <w:t>2026年6月8日招标线上问答会钉钉链接：</w:t>
            </w:r>
          </w:p>
        </w:tc>
      </w:tr>
      <w:tr>
        <w:tblPrEx>
          <w:tblCellMar>
            <w:top w:w="0" w:type="dxa"/>
            <w:left w:w="108" w:type="dxa"/>
            <w:bottom w:w="0" w:type="dxa"/>
            <w:right w:w="108" w:type="dxa"/>
          </w:tblCellMar>
        </w:tblPrEx>
        <w:trPr>
          <w:trHeight w:val="535" w:hRule="atLeast"/>
        </w:trPr>
        <w:tc>
          <w:tcPr>
            <w:tcW w:w="9666" w:type="dxa"/>
            <w:vAlign w:val="center"/>
          </w:tcPr>
          <w:p>
            <w:pPr>
              <w:widowControl/>
              <w:spacing w:line="276" w:lineRule="auto"/>
              <w:jc w:val="left"/>
              <w:rPr>
                <w:rFonts w:hint="eastAsia" w:asciiTheme="minorEastAsia" w:hAnsiTheme="minorEastAsia" w:eastAsiaTheme="minorEastAsia" w:cstheme="minorEastAsia"/>
                <w:b/>
                <w:bCs/>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Cs w:val="21"/>
                <w:highlight w:val="none"/>
                <w14:textFill>
                  <w14:solidFill>
                    <w14:schemeClr w14:val="tx1"/>
                  </w14:solidFill>
                </w14:textFill>
              </w:rPr>
              <w:t>主题：招标-问答会</w:t>
            </w:r>
          </w:p>
          <w:p>
            <w:pPr>
              <w:widowControl/>
              <w:spacing w:line="276" w:lineRule="auto"/>
              <w:jc w:val="left"/>
              <w:rPr>
                <w:rFonts w:hint="eastAsia" w:asciiTheme="minorEastAsia" w:hAnsiTheme="minorEastAsia" w:eastAsiaTheme="minorEastAsia" w:cstheme="minorEastAsia"/>
                <w:b/>
                <w:bCs/>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Cs w:val="21"/>
                <w:highlight w:val="none"/>
                <w14:textFill>
                  <w14:solidFill>
                    <w14:schemeClr w14:val="tx1"/>
                  </w14:solidFill>
                </w14:textFill>
              </w:rPr>
              <w:t>时间：</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2026年6月8日 14点至16点</w:t>
            </w:r>
          </w:p>
          <w:p>
            <w:pPr>
              <w:widowControl/>
              <w:spacing w:line="276" w:lineRule="auto"/>
              <w:jc w:val="left"/>
              <w:rPr>
                <w:rFonts w:hint="default" w:asciiTheme="minorEastAsia" w:hAnsiTheme="minorEastAsia" w:eastAsiaTheme="minorEastAsia" w:cstheme="minorEastAsia"/>
                <w:b/>
                <w:bCs/>
                <w:color w:val="000000" w:themeColor="text1"/>
                <w:szCs w:val="21"/>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Cs w:val="21"/>
                <w:highlight w:val="none"/>
                <w14:textFill>
                  <w14:solidFill>
                    <w14:schemeClr w14:val="tx1"/>
                  </w14:solidFill>
                </w14:textFill>
              </w:rPr>
              <w:t>会议号：</w:t>
            </w:r>
            <w:r>
              <w:rPr>
                <w:rFonts w:hint="eastAsia" w:asciiTheme="minorEastAsia" w:hAnsiTheme="minorEastAsia" w:eastAsiaTheme="minorEastAsia" w:cstheme="minorEastAsia"/>
                <w:b/>
                <w:bCs/>
                <w:color w:val="000000" w:themeColor="text1"/>
                <w:szCs w:val="21"/>
                <w:highlight w:val="none"/>
                <w:lang w:val="en-US" w:eastAsia="zh-CN"/>
                <w14:textFill>
                  <w14:solidFill>
                    <w14:schemeClr w14:val="tx1"/>
                  </w14:solidFill>
                </w14:textFill>
              </w:rPr>
              <w:t>405</w:t>
            </w:r>
            <w:r>
              <w:rPr>
                <w:rFonts w:hint="eastAsia" w:asciiTheme="minorEastAsia" w:hAnsiTheme="minorEastAsia" w:eastAsiaTheme="minorEastAsia" w:cstheme="minorEastAsia"/>
                <w:b/>
                <w:bCs/>
                <w:color w:val="000000" w:themeColor="text1"/>
                <w:szCs w:val="21"/>
                <w:highlight w:val="none"/>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Cs w:val="21"/>
                <w:highlight w:val="none"/>
                <w:lang w:val="en-US" w:eastAsia="zh-CN"/>
                <w14:textFill>
                  <w14:solidFill>
                    <w14:schemeClr w14:val="tx1"/>
                  </w14:solidFill>
                </w14:textFill>
              </w:rPr>
              <w:t>741</w:t>
            </w:r>
            <w:r>
              <w:rPr>
                <w:rFonts w:hint="eastAsia" w:asciiTheme="minorEastAsia" w:hAnsiTheme="minorEastAsia" w:eastAsiaTheme="minorEastAsia" w:cstheme="minorEastAsia"/>
                <w:b/>
                <w:bCs/>
                <w:color w:val="000000" w:themeColor="text1"/>
                <w:szCs w:val="21"/>
                <w:highlight w:val="none"/>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Cs w:val="21"/>
                <w:highlight w:val="none"/>
                <w:lang w:val="en-US" w:eastAsia="zh-CN"/>
                <w14:textFill>
                  <w14:solidFill>
                    <w14:schemeClr w14:val="tx1"/>
                  </w14:solidFill>
                </w14:textFill>
              </w:rPr>
              <w:t>918</w:t>
            </w:r>
          </w:p>
          <w:p>
            <w:pPr>
              <w:widowControl/>
              <w:spacing w:line="276" w:lineRule="auto"/>
              <w:jc w:val="left"/>
              <w:rPr>
                <w:rFonts w:hint="eastAsia" w:asciiTheme="minorEastAsia" w:hAnsiTheme="minorEastAsia" w:eastAsiaTheme="minorEastAsia" w:cstheme="minorEastAsia"/>
                <w:b/>
                <w:bCs/>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Cs w:val="21"/>
                <w:highlight w:val="none"/>
                <w14:textFill>
                  <w14:solidFill>
                    <w14:schemeClr w14:val="tx1"/>
                  </w14:solidFill>
                </w14:textFill>
              </w:rPr>
              <w:t>入会链接：https://meeting.dingtalk.com/j/Y3tB2NvBw17</w:t>
            </w:r>
          </w:p>
          <w:p>
            <w:pPr>
              <w:widowControl/>
              <w:spacing w:line="276" w:lineRule="auto"/>
              <w:jc w:val="left"/>
              <w:rPr>
                <w:rFonts w:hint="eastAsia" w:asciiTheme="minorEastAsia" w:hAnsiTheme="minorEastAsia" w:eastAsiaTheme="minorEastAsia" w:cstheme="minorEastAsia"/>
                <w:b/>
                <w:bCs/>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Cs w:val="21"/>
                <w:highlight w:val="none"/>
                <w14:textFill>
                  <w14:solidFill>
                    <w14:schemeClr w14:val="tx1"/>
                  </w14:solidFill>
                </w14:textFill>
              </w:rPr>
              <w:t>可通过浏览器直接入会，无需下载钉钉。</w:t>
            </w:r>
          </w:p>
          <w:p>
            <w:pPr>
              <w:widowControl/>
              <w:spacing w:line="276" w:lineRule="auto"/>
              <w:jc w:val="left"/>
              <w:rPr>
                <w:rFonts w:hint="eastAsia" w:asciiTheme="minorEastAsia" w:hAnsiTheme="minorEastAsia" w:eastAsiaTheme="minorEastAsia" w:cstheme="minorEastAsia"/>
                <w:sz w:val="24"/>
                <w:szCs w:val="24"/>
                <w:highlight w:val="none"/>
              </w:rPr>
            </w:pPr>
          </w:p>
          <w:p>
            <w:pPr>
              <w:widowControl/>
              <w:spacing w:line="276" w:lineRule="auto"/>
              <w:jc w:val="left"/>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p>
        </w:tc>
      </w:tr>
    </w:tbl>
    <w:p>
      <w:pPr>
        <w:pStyle w:val="45"/>
        <w:ind w:left="0" w:leftChars="0" w:firstLine="0" w:firstLineChars="0"/>
        <w:rPr>
          <w:rFonts w:hint="eastAsia" w:asciiTheme="minorEastAsia" w:hAnsiTheme="minorEastAsia" w:eastAsiaTheme="minorEastAsia" w:cstheme="minorEastAsia"/>
        </w:rPr>
      </w:pPr>
      <w:bookmarkStart w:id="50" w:name="_Toc14353"/>
    </w:p>
    <w:p>
      <w:pPr>
        <w:pStyle w:val="45"/>
        <w:ind w:left="0" w:leftChars="0" w:firstLine="0" w:firstLineChars="0"/>
        <w:rPr>
          <w:rFonts w:hint="eastAsia" w:asciiTheme="minorEastAsia" w:hAnsiTheme="minorEastAsia" w:eastAsiaTheme="minorEastAsia" w:cstheme="minorEastAsia"/>
        </w:rPr>
      </w:pPr>
    </w:p>
    <w:p>
      <w:pPr>
        <w:pStyle w:val="2"/>
        <w:spacing w:before="0" w:after="0"/>
        <w:jc w:val="center"/>
        <w:rPr>
          <w:rFonts w:hint="eastAsia" w:asciiTheme="minorEastAsia" w:hAnsiTheme="minorEastAsia" w:eastAsiaTheme="minorEastAsia" w:cstheme="minorEastAsia"/>
          <w:color w:val="000000" w:themeColor="text1"/>
          <w:szCs w:val="22"/>
          <w14:textFill>
            <w14:solidFill>
              <w14:schemeClr w14:val="tx1"/>
            </w14:solidFill>
          </w14:textFill>
        </w:rPr>
      </w:pPr>
      <w:bookmarkStart w:id="51" w:name="_Toc4904"/>
      <w:r>
        <w:rPr>
          <w:rFonts w:hint="eastAsia" w:asciiTheme="minorEastAsia" w:hAnsiTheme="minorEastAsia" w:eastAsiaTheme="minorEastAsia" w:cstheme="minorEastAsia"/>
          <w:color w:val="000000" w:themeColor="text1"/>
          <w:szCs w:val="22"/>
          <w14:textFill>
            <w14:solidFill>
              <w14:schemeClr w14:val="tx1"/>
            </w14:solidFill>
          </w14:textFill>
        </w:rPr>
        <w:t>第二章 投标人须知</w:t>
      </w:r>
      <w:bookmarkEnd w:id="12"/>
      <w:bookmarkEnd w:id="13"/>
      <w:bookmarkEnd w:id="14"/>
      <w:bookmarkEnd w:id="15"/>
      <w:bookmarkEnd w:id="16"/>
      <w:bookmarkEnd w:id="17"/>
      <w:bookmarkEnd w:id="50"/>
      <w:bookmarkEnd w:id="51"/>
    </w:p>
    <w:p>
      <w:pPr>
        <w:pStyle w:val="3"/>
        <w:jc w:val="center"/>
        <w:rPr>
          <w:rFonts w:hint="eastAsia" w:asciiTheme="minorEastAsia" w:hAnsiTheme="minorEastAsia" w:eastAsiaTheme="minorEastAsia" w:cstheme="minorEastAsia"/>
          <w:color w:val="000000" w:themeColor="text1"/>
          <w14:textFill>
            <w14:solidFill>
              <w14:schemeClr w14:val="tx1"/>
            </w14:solidFill>
          </w14:textFill>
        </w:rPr>
      </w:pPr>
      <w:bookmarkStart w:id="52" w:name="_Toc447265501"/>
      <w:bookmarkStart w:id="53" w:name="_Toc447188666"/>
      <w:bookmarkStart w:id="54" w:name="_Toc474507511"/>
      <w:bookmarkStart w:id="55" w:name="_Toc227057884"/>
      <w:bookmarkStart w:id="56" w:name="_Toc15904"/>
      <w:bookmarkStart w:id="57" w:name="_Toc482640546"/>
      <w:bookmarkStart w:id="58" w:name="_Toc13800"/>
      <w:bookmarkStart w:id="59" w:name="_Toc447265215"/>
      <w:bookmarkStart w:id="60" w:name="_Toc19216"/>
      <w:bookmarkStart w:id="61" w:name="_Toc226969277"/>
      <w:bookmarkStart w:id="62" w:name="_Toc24614"/>
      <w:r>
        <w:rPr>
          <w:rFonts w:hint="eastAsia" w:asciiTheme="minorEastAsia" w:hAnsiTheme="minorEastAsia" w:eastAsiaTheme="minorEastAsia" w:cstheme="minorEastAsia"/>
          <w:color w:val="000000" w:themeColor="text1"/>
          <w14:textFill>
            <w14:solidFill>
              <w14:schemeClr w14:val="tx1"/>
            </w14:solidFill>
          </w14:textFill>
        </w:rPr>
        <w:t>投标人须知前附表</w:t>
      </w:r>
      <w:bookmarkEnd w:id="52"/>
      <w:bookmarkEnd w:id="53"/>
      <w:bookmarkEnd w:id="54"/>
      <w:bookmarkEnd w:id="55"/>
      <w:bookmarkEnd w:id="56"/>
      <w:bookmarkEnd w:id="57"/>
      <w:bookmarkEnd w:id="58"/>
      <w:bookmarkEnd w:id="59"/>
      <w:bookmarkEnd w:id="60"/>
      <w:bookmarkEnd w:id="61"/>
      <w:bookmarkEnd w:id="62"/>
    </w:p>
    <w:p>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本投标人须知前附表是对投标人须知正文的具体补充和修改，如有矛盾，以本前附表为准。</w:t>
      </w:r>
    </w:p>
    <w:tbl>
      <w:tblPr>
        <w:tblStyle w:val="46"/>
        <w:tblW w:w="4998"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28" w:type="dxa"/>
          <w:bottom w:w="0" w:type="dxa"/>
          <w:right w:w="28" w:type="dxa"/>
        </w:tblCellMar>
      </w:tblPr>
      <w:tblGrid>
        <w:gridCol w:w="872"/>
        <w:gridCol w:w="2081"/>
        <w:gridCol w:w="651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blHeader/>
        </w:trPr>
        <w:tc>
          <w:tcPr>
            <w:tcW w:w="461" w:type="pct"/>
            <w:vAlign w:val="center"/>
          </w:tcPr>
          <w:p>
            <w:pPr>
              <w:autoSpaceDE w:val="0"/>
              <w:autoSpaceDN w:val="0"/>
              <w:jc w:val="center"/>
              <w:rPr>
                <w:rFonts w:hint="eastAsia" w:asciiTheme="minorEastAsia" w:hAnsiTheme="minorEastAsia" w:eastAsiaTheme="minorEastAsia" w:cstheme="minorEastAsia"/>
                <w:b/>
                <w:color w:val="000000" w:themeColor="text1"/>
                <w14:textFill>
                  <w14:solidFill>
                    <w14:schemeClr w14:val="tx1"/>
                  </w14:solidFill>
                </w14:textFill>
              </w:rPr>
            </w:pPr>
            <w:r>
              <w:rPr>
                <w:rFonts w:hint="eastAsia" w:asciiTheme="minorEastAsia" w:hAnsiTheme="minorEastAsia" w:eastAsiaTheme="minorEastAsia" w:cstheme="minorEastAsia"/>
                <w:b/>
                <w:color w:val="000000" w:themeColor="text1"/>
                <w14:textFill>
                  <w14:solidFill>
                    <w14:schemeClr w14:val="tx1"/>
                  </w14:solidFill>
                </w14:textFill>
              </w:rPr>
              <w:t>条款号</w:t>
            </w:r>
          </w:p>
        </w:tc>
        <w:tc>
          <w:tcPr>
            <w:tcW w:w="1099" w:type="pct"/>
            <w:vAlign w:val="center"/>
          </w:tcPr>
          <w:p>
            <w:pPr>
              <w:autoSpaceDE w:val="0"/>
              <w:autoSpaceDN w:val="0"/>
              <w:jc w:val="center"/>
              <w:rPr>
                <w:rFonts w:hint="eastAsia" w:asciiTheme="minorEastAsia" w:hAnsiTheme="minorEastAsia" w:eastAsiaTheme="minorEastAsia" w:cstheme="minorEastAsia"/>
                <w:b/>
                <w:color w:val="000000" w:themeColor="text1"/>
                <w14:textFill>
                  <w14:solidFill>
                    <w14:schemeClr w14:val="tx1"/>
                  </w14:solidFill>
                </w14:textFill>
              </w:rPr>
            </w:pPr>
            <w:r>
              <w:rPr>
                <w:rFonts w:hint="eastAsia" w:asciiTheme="minorEastAsia" w:hAnsiTheme="minorEastAsia" w:eastAsiaTheme="minorEastAsia" w:cstheme="minorEastAsia"/>
                <w:b/>
                <w:color w:val="000000" w:themeColor="text1"/>
                <w14:textFill>
                  <w14:solidFill>
                    <w14:schemeClr w14:val="tx1"/>
                  </w14:solidFill>
                </w14:textFill>
              </w:rPr>
              <w:t>条款名称</w:t>
            </w:r>
          </w:p>
        </w:tc>
        <w:tc>
          <w:tcPr>
            <w:tcW w:w="3439" w:type="pct"/>
            <w:vAlign w:val="center"/>
          </w:tcPr>
          <w:p>
            <w:pPr>
              <w:autoSpaceDE w:val="0"/>
              <w:autoSpaceDN w:val="0"/>
              <w:jc w:val="center"/>
              <w:rPr>
                <w:rFonts w:hint="eastAsia" w:asciiTheme="minorEastAsia" w:hAnsiTheme="minorEastAsia" w:eastAsiaTheme="minorEastAsia" w:cstheme="minorEastAsia"/>
                <w:b/>
                <w:color w:val="000000" w:themeColor="text1"/>
                <w14:textFill>
                  <w14:solidFill>
                    <w14:schemeClr w14:val="tx1"/>
                  </w14:solidFill>
                </w14:textFill>
              </w:rPr>
            </w:pPr>
            <w:r>
              <w:rPr>
                <w:rFonts w:hint="eastAsia" w:asciiTheme="minorEastAsia" w:hAnsiTheme="minorEastAsia" w:eastAsiaTheme="minorEastAsia" w:cstheme="minorEastAsia"/>
                <w:b/>
                <w:color w:val="000000" w:themeColor="text1"/>
                <w14:textFill>
                  <w14:solidFill>
                    <w14:schemeClr w14:val="tx1"/>
                  </w14:solidFill>
                </w14:textFill>
              </w:rPr>
              <w:t>编列内容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招标人</w:t>
            </w:r>
          </w:p>
        </w:tc>
        <w:tc>
          <w:tcPr>
            <w:tcW w:w="3439" w:type="pct"/>
            <w:vAlign w:val="center"/>
          </w:tcPr>
          <w:p>
            <w:pPr>
              <w:autoSpaceDE w:val="0"/>
              <w:autoSpaceDN w:val="0"/>
              <w:rPr>
                <w:rFonts w:hint="default" w:asciiTheme="minorEastAsia" w:hAnsiTheme="minorEastAsia" w:eastAsiaTheme="minorEastAsia" w:cstheme="minorEastAsia"/>
                <w:color w:val="000000" w:themeColor="text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招标人名称：</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苏州康诚仓储有限公司</w:t>
            </w:r>
          </w:p>
          <w:p>
            <w:pPr>
              <w:rPr>
                <w:rFonts w:hint="default" w:asciiTheme="minorEastAsia" w:hAnsiTheme="minorEastAsia" w:eastAsiaTheme="minorEastAsia" w:cstheme="minorEastAsia"/>
                <w:color w:val="000000" w:themeColor="text1"/>
                <w:highlight w:val="none"/>
                <w:u w:val="singl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招标人地址：</w:t>
            </w:r>
            <w:r>
              <w:rPr>
                <w:rFonts w:hint="eastAsia" w:cs="Times New Roman"/>
                <w:color w:val="auto"/>
                <w:kern w:val="2"/>
                <w:sz w:val="21"/>
                <w:highlight w:val="none"/>
                <w:lang w:val="en-US" w:eastAsia="zh-CN" w:bidi="ar-SA"/>
              </w:rPr>
              <w:t>南京市六合区龙须湖路9号</w:t>
            </w:r>
          </w:p>
          <w:p>
            <w:pPr>
              <w:rPr>
                <w:rFonts w:hint="default" w:asciiTheme="minorEastAsia" w:hAnsiTheme="minorEastAsia" w:eastAsiaTheme="minorEastAsia" w:cstheme="minorEastAsia"/>
                <w:color w:val="000000" w:themeColor="text1"/>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招标人联系方式：</w:t>
            </w: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18913026162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招标项目名称</w:t>
            </w:r>
          </w:p>
        </w:tc>
        <w:tc>
          <w:tcPr>
            <w:tcW w:w="3439" w:type="pct"/>
            <w:vAlign w:val="center"/>
          </w:tcPr>
          <w:p>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项目名称：</w:t>
            </w:r>
            <w:r>
              <w:rPr>
                <w:rFonts w:hint="eastAsia" w:asciiTheme="minorEastAsia" w:hAnsiTheme="minorEastAsia" w:eastAsiaTheme="minorEastAsia" w:cstheme="minorEastAsia"/>
                <w:color w:val="000000" w:themeColor="text1"/>
                <w:lang w:eastAsia="zh-CN"/>
                <w14:textFill>
                  <w14:solidFill>
                    <w14:schemeClr w14:val="tx1"/>
                  </w14:solidFill>
                </w14:textFill>
              </w:rPr>
              <w:t>苏州康诚仓储有限公司干线运输招标</w:t>
            </w:r>
            <w:r>
              <w:rPr>
                <w:rFonts w:hint="eastAsia" w:asciiTheme="minorEastAsia" w:hAnsiTheme="minorEastAsia" w:eastAsiaTheme="minorEastAsia" w:cstheme="minorEastAsia"/>
                <w:color w:val="000000" w:themeColor="text1"/>
                <w14:textFill>
                  <w14:solidFill>
                    <w14:schemeClr w14:val="tx1"/>
                  </w14:solidFill>
                </w14:textFill>
              </w:rPr>
              <w:t>项目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3</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招标范围</w:t>
            </w:r>
          </w:p>
        </w:tc>
        <w:tc>
          <w:tcPr>
            <w:tcW w:w="3439" w:type="pct"/>
            <w:vAlign w:val="center"/>
          </w:tcPr>
          <w:p>
            <w:pPr>
              <w:autoSpaceDE w:val="0"/>
              <w:autoSpaceDN w:val="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详见第一章“招标公告”</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4</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标包划分</w:t>
            </w:r>
          </w:p>
        </w:tc>
        <w:tc>
          <w:tcPr>
            <w:tcW w:w="3439" w:type="pct"/>
            <w:vAlign w:val="center"/>
          </w:tcPr>
          <w:p>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sym w:font="Wingdings 2" w:char="0052"/>
            </w:r>
            <w:r>
              <w:rPr>
                <w:rFonts w:hint="eastAsia" w:asciiTheme="minorEastAsia" w:hAnsiTheme="minorEastAsia" w:eastAsiaTheme="minorEastAsia" w:cstheme="minorEastAsia"/>
                <w:color w:val="000000" w:themeColor="text1"/>
                <w:szCs w:val="21"/>
                <w14:textFill>
                  <w14:solidFill>
                    <w14:schemeClr w14:val="tx1"/>
                  </w14:solidFill>
                </w14:textFill>
              </w:rPr>
              <w:t>标包招标，标包划分情况如下：</w:t>
            </w:r>
            <w:r>
              <w:rPr>
                <w:rFonts w:hint="eastAsia" w:asciiTheme="minorEastAsia" w:hAnsiTheme="minorEastAsia" w:eastAsiaTheme="minorEastAsia" w:cstheme="minorEastAsia"/>
                <w:color w:val="000000" w:themeColor="text1"/>
                <w14:textFill>
                  <w14:solidFill>
                    <w14:schemeClr w14:val="tx1"/>
                  </w14:solidFill>
                </w14:textFill>
              </w:rPr>
              <w:t>详见第一章“招标公告”</w:t>
            </w:r>
          </w:p>
          <w:p>
            <w:pPr>
              <w:autoSpaceDE w:val="0"/>
              <w:autoSpaceDN w:val="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□不划分标包</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5</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招标方式</w:t>
            </w:r>
          </w:p>
        </w:tc>
        <w:tc>
          <w:tcPr>
            <w:tcW w:w="3439" w:type="pct"/>
            <w:vAlign w:val="center"/>
          </w:tcPr>
          <w:p>
            <w:pPr>
              <w:autoSpaceDE w:val="0"/>
              <w:autoSpaceDN w:val="0"/>
              <w:jc w:val="left"/>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sym w:font="Wingdings 2" w:char="00A3"/>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邀请招标</w:t>
            </w:r>
          </w:p>
          <w:p>
            <w:pPr>
              <w:autoSpaceDE w:val="0"/>
              <w:autoSpaceDN w:val="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sym w:font="Wingdings 2" w:char="0052"/>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公开招标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6</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招标组织形式</w:t>
            </w:r>
          </w:p>
        </w:tc>
        <w:tc>
          <w:tcPr>
            <w:tcW w:w="3439" w:type="pct"/>
            <w:vAlign w:val="center"/>
          </w:tcPr>
          <w:p>
            <w:pPr>
              <w:autoSpaceDE w:val="0"/>
              <w:autoSpaceDN w:val="0"/>
              <w:jc w:val="lef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□委托招标代理机构代理招标</w:t>
            </w:r>
          </w:p>
          <w:p>
            <w:pPr>
              <w:autoSpaceDE w:val="0"/>
              <w:autoSpaceDN w:val="0"/>
              <w:jc w:val="lef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sym w:font="Wingdings 2" w:char="0052"/>
            </w:r>
            <w:r>
              <w:rPr>
                <w:rFonts w:hint="eastAsia" w:asciiTheme="minorEastAsia" w:hAnsiTheme="minorEastAsia" w:eastAsiaTheme="minorEastAsia" w:cstheme="minorEastAsia"/>
                <w:color w:val="000000" w:themeColor="text1"/>
                <w:szCs w:val="21"/>
                <w14:textFill>
                  <w14:solidFill>
                    <w14:schemeClr w14:val="tx1"/>
                  </w14:solidFill>
                </w14:textFill>
              </w:rPr>
              <w:t>自行招标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7</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资格审查方式</w:t>
            </w:r>
          </w:p>
        </w:tc>
        <w:tc>
          <w:tcPr>
            <w:tcW w:w="3439" w:type="pct"/>
            <w:vAlign w:val="center"/>
          </w:tcPr>
          <w:p>
            <w:pPr>
              <w:autoSpaceDE w:val="0"/>
              <w:autoSpaceDN w:val="0"/>
              <w:jc w:val="lef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 资格预审</w:t>
            </w:r>
          </w:p>
          <w:p>
            <w:pPr>
              <w:autoSpaceDE w:val="0"/>
              <w:autoSpaceDN w:val="0"/>
              <w:jc w:val="lef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sym w:font="Wingdings 2" w:char="0052"/>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资格后审，资格条件见第一章“招标公告”</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8</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投标人不得存在的情形</w:t>
            </w:r>
          </w:p>
        </w:tc>
        <w:tc>
          <w:tcPr>
            <w:tcW w:w="3439" w:type="pct"/>
            <w:vAlign w:val="center"/>
          </w:tcPr>
          <w:p>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（1）为招标人不具有独立法人资格的附属机构（单位）；</w:t>
            </w:r>
          </w:p>
          <w:p>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（2）被责令停业或破产状态的；</w:t>
            </w:r>
          </w:p>
          <w:p>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（3）被暂停或取消投标资格的；</w:t>
            </w:r>
          </w:p>
          <w:p>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（4）财产被重组、接管、查封、扣押或冻结的；</w:t>
            </w:r>
          </w:p>
          <w:p>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（5）在最近三年内骗取中标情形的；</w:t>
            </w:r>
          </w:p>
          <w:p>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（6）在最近三年内因严重违反合同约定被解除合同/协议，或取消供应商资格的；</w:t>
            </w:r>
          </w:p>
          <w:p>
            <w:pPr>
              <w:autoSpaceDE w:val="0"/>
              <w:autoSpaceDN w:val="0"/>
              <w:jc w:val="lef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（7）法律、法规和招标文件规定的其他不得存在的情形。</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9</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招标文件的组成</w:t>
            </w:r>
          </w:p>
        </w:tc>
        <w:tc>
          <w:tcPr>
            <w:tcW w:w="3439" w:type="pct"/>
            <w:vAlign w:val="center"/>
          </w:tcPr>
          <w:p>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第一章  招标公告</w:t>
            </w:r>
          </w:p>
          <w:p>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第二章  投标人须知</w:t>
            </w:r>
          </w:p>
          <w:p>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第三章  评标细则</w:t>
            </w:r>
          </w:p>
          <w:p>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10</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踏勘现场</w:t>
            </w:r>
          </w:p>
        </w:tc>
        <w:tc>
          <w:tcPr>
            <w:tcW w:w="3439" w:type="pct"/>
            <w:vAlign w:val="center"/>
          </w:tcPr>
          <w:p>
            <w:pPr>
              <w:autoSpaceDE w:val="0"/>
              <w:autoSpaceDN w:val="0"/>
              <w:spacing w:line="288" w:lineRule="auto"/>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w:t>
            </w:r>
            <w:r>
              <w:rPr>
                <w:rFonts w:hint="eastAsia" w:asciiTheme="minorEastAsia" w:hAnsiTheme="minorEastAsia" w:eastAsiaTheme="minorEastAsia" w:cstheme="minorEastAsia"/>
                <w:color w:val="000000" w:themeColor="text1"/>
                <w:szCs w:val="22"/>
                <w14:textFill>
                  <w14:solidFill>
                    <w14:schemeClr w14:val="tx1"/>
                  </w14:solidFill>
                </w14:textFill>
              </w:rPr>
              <w:t>组织</w:t>
            </w:r>
          </w:p>
          <w:p>
            <w:pPr>
              <w:widowControl/>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sym w:font="Wingdings 2" w:char="0052"/>
            </w:r>
            <w:r>
              <w:rPr>
                <w:rFonts w:hint="eastAsia" w:asciiTheme="minorEastAsia" w:hAnsiTheme="minorEastAsia" w:eastAsiaTheme="minorEastAsia" w:cstheme="minorEastAsia"/>
                <w:color w:val="000000" w:themeColor="text1"/>
                <w14:textFill>
                  <w14:solidFill>
                    <w14:schemeClr w14:val="tx1"/>
                  </w14:solidFill>
                </w14:textFill>
              </w:rPr>
              <w:t>不组织</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11</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投标说明会</w:t>
            </w:r>
          </w:p>
        </w:tc>
        <w:tc>
          <w:tcPr>
            <w:tcW w:w="3439" w:type="pct"/>
            <w:vAlign w:val="center"/>
          </w:tcPr>
          <w:p>
            <w:pPr>
              <w:rPr>
                <w:rFonts w:hint="eastAsia" w:asciiTheme="minorEastAsia" w:hAnsiTheme="minorEastAsia" w:eastAsiaTheme="minorEastAsia" w:cstheme="minorEastAsia"/>
                <w:color w:val="000000" w:themeColor="text1"/>
                <w:highlight w:val="none"/>
                <w:u w:val="singl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2"/>
                <w:highlight w:val="none"/>
                <w14:textFill>
                  <w14:solidFill>
                    <w14:schemeClr w14:val="tx1"/>
                  </w14:solidFill>
                </w14:textFill>
              </w:rPr>
              <w:sym w:font="Wingdings 2" w:char="0052"/>
            </w:r>
            <w:r>
              <w:rPr>
                <w:rFonts w:hint="eastAsia" w:asciiTheme="minorEastAsia" w:hAnsiTheme="minorEastAsia" w:eastAsiaTheme="minorEastAsia" w:cstheme="minorEastAsia"/>
                <w:color w:val="000000" w:themeColor="text1"/>
                <w:szCs w:val="22"/>
                <w:highlight w:val="none"/>
                <w14:textFill>
                  <w14:solidFill>
                    <w14:schemeClr w14:val="tx1"/>
                  </w14:solidFill>
                </w14:textFill>
              </w:rPr>
              <w:t xml:space="preserve"> 召开</w:t>
            </w:r>
            <w:r>
              <w:rPr>
                <w:rFonts w:hint="eastAsia" w:asciiTheme="minorEastAsia" w:hAnsiTheme="minorEastAsia" w:eastAsiaTheme="minorEastAsia" w:cstheme="minorEastAsia"/>
                <w:color w:val="000000" w:themeColor="text1"/>
                <w:szCs w:val="22"/>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Cs w:val="22"/>
                <w:highlight w:val="none"/>
                <w14:textFill>
                  <w14:solidFill>
                    <w14:schemeClr w14:val="tx1"/>
                  </w14:solidFill>
                </w14:textFill>
              </w:rPr>
              <w:t>召开</w:t>
            </w:r>
            <w:r>
              <w:rPr>
                <w:rFonts w:hint="eastAsia" w:asciiTheme="minorEastAsia" w:hAnsiTheme="minorEastAsia" w:eastAsiaTheme="minorEastAsia" w:cstheme="minorEastAsia"/>
                <w:color w:val="000000" w:themeColor="text1"/>
                <w:szCs w:val="22"/>
                <w:highlight w:val="none"/>
                <w:lang w:val="en-US" w:eastAsia="zh-CN"/>
                <w14:textFill>
                  <w14:solidFill>
                    <w14:schemeClr w14:val="tx1"/>
                  </w14:solidFill>
                </w14:textFill>
              </w:rPr>
              <w:t>线上</w:t>
            </w:r>
            <w:r>
              <w:rPr>
                <w:rFonts w:hint="eastAsia" w:asciiTheme="minorEastAsia" w:hAnsiTheme="minorEastAsia" w:eastAsiaTheme="minorEastAsia" w:cstheme="minorEastAsia"/>
                <w:color w:val="000000" w:themeColor="text1"/>
                <w:szCs w:val="22"/>
                <w:highlight w:val="none"/>
                <w14:textFill>
                  <w14:solidFill>
                    <w14:schemeClr w14:val="tx1"/>
                  </w14:solidFill>
                </w14:textFill>
              </w:rPr>
              <w:t>投标</w:t>
            </w:r>
            <w:r>
              <w:rPr>
                <w:rFonts w:hint="eastAsia" w:asciiTheme="minorEastAsia" w:hAnsiTheme="minorEastAsia" w:eastAsiaTheme="minorEastAsia" w:cstheme="minorEastAsia"/>
                <w:color w:val="000000" w:themeColor="text1"/>
                <w:szCs w:val="22"/>
                <w:highlight w:val="none"/>
                <w:lang w:val="en-US" w:eastAsia="zh-CN"/>
                <w14:textFill>
                  <w14:solidFill>
                    <w14:schemeClr w14:val="tx1"/>
                  </w14:solidFill>
                </w14:textFill>
              </w:rPr>
              <w:t>问答</w:t>
            </w:r>
            <w:r>
              <w:rPr>
                <w:rFonts w:hint="eastAsia" w:asciiTheme="minorEastAsia" w:hAnsiTheme="minorEastAsia" w:eastAsiaTheme="minorEastAsia" w:cstheme="minorEastAsia"/>
                <w:color w:val="000000" w:themeColor="text1"/>
                <w:szCs w:val="22"/>
                <w:highlight w:val="none"/>
                <w14:textFill>
                  <w14:solidFill>
                    <w14:schemeClr w14:val="tx1"/>
                  </w14:solidFill>
                </w14:textFill>
              </w:rPr>
              <w:t>会的时间202</w:t>
            </w:r>
            <w:r>
              <w:rPr>
                <w:rFonts w:hint="eastAsia" w:asciiTheme="minorEastAsia" w:hAnsiTheme="minorEastAsia" w:eastAsiaTheme="minorEastAsia" w:cstheme="minorEastAsia"/>
                <w:color w:val="000000" w:themeColor="text1"/>
                <w:szCs w:val="22"/>
                <w:highlight w:val="none"/>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szCs w:val="22"/>
                <w:highlight w:val="none"/>
                <w14:textFill>
                  <w14:solidFill>
                    <w14:schemeClr w14:val="tx1"/>
                  </w14:solidFill>
                </w14:textFill>
              </w:rPr>
              <w:t>年</w:t>
            </w:r>
            <w:r>
              <w:rPr>
                <w:rFonts w:hint="eastAsia" w:asciiTheme="minorEastAsia" w:hAnsiTheme="minorEastAsia" w:eastAsiaTheme="minorEastAsia" w:cstheme="minorEastAsia"/>
                <w:color w:val="000000" w:themeColor="text1"/>
                <w:szCs w:val="22"/>
                <w:highlight w:val="none"/>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szCs w:val="22"/>
                <w:highlight w:val="none"/>
                <w14:textFill>
                  <w14:solidFill>
                    <w14:schemeClr w14:val="tx1"/>
                  </w14:solidFill>
                </w14:textFill>
              </w:rPr>
              <w:t>月</w:t>
            </w:r>
            <w:r>
              <w:rPr>
                <w:rFonts w:hint="eastAsia" w:asciiTheme="minorEastAsia" w:hAnsiTheme="minorEastAsia" w:eastAsiaTheme="minorEastAsia" w:cstheme="minorEastAsia"/>
                <w:color w:val="000000" w:themeColor="text1"/>
                <w:szCs w:val="22"/>
                <w:highlight w:val="none"/>
                <w:lang w:val="en-US" w:eastAsia="zh-CN"/>
                <w14:textFill>
                  <w14:solidFill>
                    <w14:schemeClr w14:val="tx1"/>
                  </w14:solidFill>
                </w14:textFill>
              </w:rPr>
              <w:t xml:space="preserve"> 8 </w:t>
            </w:r>
            <w:r>
              <w:rPr>
                <w:rFonts w:hint="eastAsia" w:asciiTheme="minorEastAsia" w:hAnsiTheme="minorEastAsia" w:eastAsiaTheme="minorEastAsia" w:cstheme="minorEastAsia"/>
                <w:color w:val="000000" w:themeColor="text1"/>
                <w:szCs w:val="22"/>
                <w:highlight w:val="none"/>
                <w14:textFill>
                  <w14:solidFill>
                    <w14:schemeClr w14:val="tx1"/>
                  </w14:solidFill>
                </w14:textFill>
              </w:rPr>
              <w:t>日</w:t>
            </w:r>
            <w:r>
              <w:rPr>
                <w:rFonts w:hint="eastAsia" w:asciiTheme="minorEastAsia" w:hAnsiTheme="minorEastAsia" w:eastAsiaTheme="minorEastAsia" w:cstheme="minorEastAsia"/>
                <w:color w:val="000000" w:themeColor="text1"/>
                <w:szCs w:val="22"/>
                <w:highlight w:val="none"/>
                <w:lang w:val="en-US" w:eastAsia="zh-CN"/>
                <w14:textFill>
                  <w14:solidFill>
                    <w14:schemeClr w14:val="tx1"/>
                  </w14:solidFill>
                </w14:textFill>
              </w:rPr>
              <w:t>14:00-16:00</w:t>
            </w:r>
          </w:p>
          <w:p>
            <w:pPr>
              <w:autoSpaceDE w:val="0"/>
              <w:autoSpaceDN w:val="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2"/>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Cs w:val="22"/>
                <w:highlight w:val="none"/>
                <w14:textFill>
                  <w14:solidFill>
                    <w14:schemeClr w14:val="tx1"/>
                  </w14:solidFill>
                </w14:textFill>
              </w:rPr>
              <w:t xml:space="preserve"> 不召开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12</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最高投标限价或者其计算方法</w:t>
            </w:r>
          </w:p>
        </w:tc>
        <w:tc>
          <w:tcPr>
            <w:tcW w:w="3439" w:type="pct"/>
            <w:vAlign w:val="center"/>
          </w:tcPr>
          <w:p>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w:t>
            </w:r>
            <w:r>
              <w:rPr>
                <w:rFonts w:hint="eastAsia" w:asciiTheme="minorEastAsia" w:hAnsiTheme="minorEastAsia" w:eastAsiaTheme="minorEastAsia" w:cstheme="minorEastAsia"/>
                <w:color w:val="000000" w:themeColor="text1"/>
                <w14:textFill>
                  <w14:solidFill>
                    <w14:schemeClr w14:val="tx1"/>
                  </w14:solidFill>
                </w14:textFill>
              </w:rPr>
              <w:t>不设置最高投标限价</w:t>
            </w:r>
          </w:p>
          <w:p>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sym w:font="Wingdings 2" w:char="00A3"/>
            </w:r>
            <w:r>
              <w:rPr>
                <w:rFonts w:hint="eastAsia" w:asciiTheme="minorEastAsia" w:hAnsiTheme="minorEastAsia" w:eastAsiaTheme="minorEastAsia" w:cstheme="minorEastAsia"/>
                <w:color w:val="000000" w:themeColor="text1"/>
                <w14:textFill>
                  <w14:solidFill>
                    <w14:schemeClr w14:val="tx1"/>
                  </w14:solidFill>
                </w14:textFill>
              </w:rPr>
              <w:t>设置最高投标限价，最高投标限价/最高投标限价计算方法：</w:t>
            </w:r>
          </w:p>
          <w:p>
            <w:pPr>
              <w:autoSpaceDE w:val="0"/>
              <w:autoSpaceDN w:val="0"/>
              <w:jc w:val="left"/>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□部分设置最高投标限价</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13</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投标报价具体要求</w:t>
            </w:r>
          </w:p>
        </w:tc>
        <w:tc>
          <w:tcPr>
            <w:tcW w:w="3439" w:type="pct"/>
            <w:vAlign w:val="center"/>
          </w:tcPr>
          <w:p>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本条款增加以下规定：</w:t>
            </w:r>
          </w:p>
          <w:p>
            <w:pPr>
              <w:autoSpaceDE w:val="0"/>
              <w:autoSpaceDN w:val="0"/>
              <w:spacing w:line="288" w:lineRule="auto"/>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报价要求：包含但不限于用于本项目的运费、燃油费、过桥过路费、人工成本、固定资产成本、设备设施、交通工具维护成本、保险、税费、因断路施工造成车辆绕行产生的费用以及其他成本、费用和营业外支出等一切费用，并已考虑淡旺季、节假日等因素。。</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14</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投标文件份数</w:t>
            </w:r>
          </w:p>
        </w:tc>
        <w:tc>
          <w:tcPr>
            <w:tcW w:w="3439" w:type="pct"/>
            <w:vAlign w:val="center"/>
          </w:tcPr>
          <w:p>
            <w:pPr>
              <w:autoSpaceDE w:val="0"/>
              <w:autoSpaceDN w:val="0"/>
              <w:jc w:val="left"/>
              <w:rPr>
                <w:rFonts w:hint="eastAsia" w:asciiTheme="minorEastAsia" w:hAnsiTheme="minorEastAsia" w:eastAsiaTheme="minorEastAsia" w:cstheme="minorEastAsia"/>
                <w:color w:val="000000" w:themeColor="text1"/>
                <w:szCs w:val="22"/>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提供电子版报价</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15</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投标文件递交截止时间</w:t>
            </w:r>
          </w:p>
        </w:tc>
        <w:tc>
          <w:tcPr>
            <w:tcW w:w="3439" w:type="pct"/>
            <w:vAlign w:val="center"/>
          </w:tcPr>
          <w:p>
            <w:pPr>
              <w:autoSpaceDE w:val="0"/>
              <w:autoSpaceDN w:val="0"/>
              <w:rPr>
                <w:rFonts w:hint="eastAsia" w:asciiTheme="minorEastAsia" w:hAnsiTheme="minorEastAsia" w:eastAsiaTheme="minorEastAsia" w:cstheme="minorEastAsia"/>
                <w:b/>
                <w:color w:val="000000" w:themeColor="text1"/>
                <w:highlight w:val="none"/>
                <w:u w:val="single"/>
                <w14:textFill>
                  <w14:solidFill>
                    <w14:schemeClr w14:val="tx1"/>
                  </w14:solidFill>
                </w14:textFill>
              </w:rPr>
            </w:pPr>
            <w:r>
              <w:rPr>
                <w:rFonts w:hint="eastAsia" w:asciiTheme="minorEastAsia" w:hAnsiTheme="minorEastAsia" w:eastAsiaTheme="minorEastAsia" w:cstheme="minorEastAsia"/>
                <w:b/>
                <w:color w:val="000000" w:themeColor="text1"/>
                <w:highlight w:val="none"/>
                <w:u w:val="single"/>
                <w14:textFill>
                  <w14:solidFill>
                    <w14:schemeClr w14:val="tx1"/>
                  </w14:solidFill>
                </w14:textFill>
              </w:rPr>
              <w:t>202</w:t>
            </w:r>
            <w:r>
              <w:rPr>
                <w:rFonts w:hint="eastAsia" w:asciiTheme="minorEastAsia" w:hAnsiTheme="minorEastAsia" w:eastAsiaTheme="minorEastAsia" w:cstheme="minorEastAsia"/>
                <w:b/>
                <w:color w:val="000000" w:themeColor="text1"/>
                <w:highlight w:val="none"/>
                <w:u w:val="single"/>
                <w:lang w:val="en-US" w:eastAsia="zh-CN"/>
                <w14:textFill>
                  <w14:solidFill>
                    <w14:schemeClr w14:val="tx1"/>
                  </w14:solidFill>
                </w14:textFill>
              </w:rPr>
              <w:t>6</w:t>
            </w:r>
            <w:r>
              <w:rPr>
                <w:rFonts w:hint="eastAsia" w:asciiTheme="minorEastAsia" w:hAnsiTheme="minorEastAsia" w:eastAsiaTheme="minorEastAsia" w:cstheme="minorEastAsia"/>
                <w:b/>
                <w:color w:val="000000" w:themeColor="text1"/>
                <w:highlight w:val="none"/>
                <w:u w:val="single"/>
                <w14:textFill>
                  <w14:solidFill>
                    <w14:schemeClr w14:val="tx1"/>
                  </w14:solidFill>
                </w14:textFill>
              </w:rPr>
              <w:t>年</w:t>
            </w:r>
            <w:r>
              <w:rPr>
                <w:rFonts w:hint="eastAsia" w:asciiTheme="minorEastAsia" w:hAnsiTheme="minorEastAsia" w:eastAsiaTheme="minorEastAsia" w:cstheme="minorEastAsia"/>
                <w:b/>
                <w:color w:val="000000" w:themeColor="text1"/>
                <w:highlight w:val="none"/>
                <w:u w:val="single"/>
                <w:lang w:val="en-US" w:eastAsia="zh-CN"/>
                <w14:textFill>
                  <w14:solidFill>
                    <w14:schemeClr w14:val="tx1"/>
                  </w14:solidFill>
                </w14:textFill>
              </w:rPr>
              <w:t>6</w:t>
            </w:r>
            <w:r>
              <w:rPr>
                <w:rFonts w:hint="eastAsia" w:asciiTheme="minorEastAsia" w:hAnsiTheme="minorEastAsia" w:eastAsiaTheme="minorEastAsia" w:cstheme="minorEastAsia"/>
                <w:b/>
                <w:color w:val="000000" w:themeColor="text1"/>
                <w:highlight w:val="none"/>
                <w:u w:val="single"/>
                <w14:textFill>
                  <w14:solidFill>
                    <w14:schemeClr w14:val="tx1"/>
                  </w14:solidFill>
                </w14:textFill>
              </w:rPr>
              <w:t>月</w:t>
            </w:r>
            <w:r>
              <w:rPr>
                <w:rFonts w:hint="eastAsia" w:asciiTheme="minorEastAsia" w:hAnsiTheme="minorEastAsia" w:eastAsiaTheme="minorEastAsia" w:cstheme="minorEastAsia"/>
                <w:b/>
                <w:color w:val="000000" w:themeColor="text1"/>
                <w:highlight w:val="none"/>
                <w:u w:val="single"/>
                <w:lang w:val="en-US" w:eastAsia="zh-CN"/>
                <w14:textFill>
                  <w14:solidFill>
                    <w14:schemeClr w14:val="tx1"/>
                  </w14:solidFill>
                </w14:textFill>
              </w:rPr>
              <w:t>20</w:t>
            </w:r>
            <w:r>
              <w:rPr>
                <w:rFonts w:hint="eastAsia" w:asciiTheme="minorEastAsia" w:hAnsiTheme="minorEastAsia" w:eastAsiaTheme="minorEastAsia" w:cstheme="minorEastAsia"/>
                <w:b/>
                <w:color w:val="000000" w:themeColor="text1"/>
                <w:highlight w:val="none"/>
                <w:u w:val="single"/>
                <w14:textFill>
                  <w14:solidFill>
                    <w14:schemeClr w14:val="tx1"/>
                  </w14:solidFill>
                </w14:textFill>
              </w:rPr>
              <w:t>日</w:t>
            </w:r>
            <w:r>
              <w:rPr>
                <w:rFonts w:hint="eastAsia" w:asciiTheme="minorEastAsia" w:hAnsiTheme="minorEastAsia" w:eastAsiaTheme="minorEastAsia" w:cstheme="minorEastAsia"/>
                <w:b/>
                <w:color w:val="000000" w:themeColor="text1"/>
                <w:highlight w:val="none"/>
                <w:u w:val="single"/>
                <w:lang w:val="en-US" w:eastAsia="zh-CN"/>
                <w14:textFill>
                  <w14:solidFill>
                    <w14:schemeClr w14:val="tx1"/>
                  </w14:solidFill>
                </w14:textFill>
              </w:rPr>
              <w:t>18</w:t>
            </w:r>
            <w:r>
              <w:rPr>
                <w:rFonts w:hint="eastAsia" w:asciiTheme="minorEastAsia" w:hAnsiTheme="minorEastAsia" w:eastAsiaTheme="minorEastAsia" w:cstheme="minorEastAsia"/>
                <w:b/>
                <w:color w:val="000000" w:themeColor="text1"/>
                <w:highlight w:val="none"/>
                <w:u w:val="single"/>
                <w14:textFill>
                  <w14:solidFill>
                    <w14:schemeClr w14:val="tx1"/>
                  </w14:solidFill>
                </w14:textFill>
              </w:rPr>
              <w:t>:00:00（北京时间）</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16</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投标文件递交异常的处理方式</w:t>
            </w:r>
          </w:p>
        </w:tc>
        <w:tc>
          <w:tcPr>
            <w:tcW w:w="3439" w:type="pct"/>
            <w:vAlign w:val="center"/>
          </w:tcPr>
          <w:p>
            <w:pPr>
              <w:autoSpaceDE w:val="0"/>
              <w:autoSpaceDN w:val="0"/>
              <w:rPr>
                <w:rFonts w:hint="default" w:asciiTheme="minorEastAsia" w:hAnsiTheme="minorEastAsia" w:eastAsiaTheme="minorEastAsia" w:cstheme="minorEastAsia"/>
                <w:color w:val="000000" w:themeColor="text1"/>
                <w:szCs w:val="22"/>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异常处理电话：</w:t>
            </w:r>
            <w:r>
              <w:rPr>
                <w:rFonts w:hint="eastAsia" w:cs="Times New Roman"/>
                <w:color w:val="auto"/>
                <w:kern w:val="2"/>
                <w:sz w:val="21"/>
                <w:highlight w:val="none"/>
                <w:lang w:val="en-US" w:eastAsia="zh-CN" w:bidi="ar-SA"/>
              </w:rPr>
              <w:t>18913026162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17</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开标时间和地点</w:t>
            </w:r>
          </w:p>
        </w:tc>
        <w:tc>
          <w:tcPr>
            <w:tcW w:w="3439" w:type="pct"/>
            <w:vAlign w:val="center"/>
          </w:tcPr>
          <w:p>
            <w:pPr>
              <w:autoSpaceDE w:val="0"/>
              <w:autoSpaceDN w:val="0"/>
              <w:jc w:val="lef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同投标文件递交截止时间和地点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18</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评标委员会组成人数</w:t>
            </w:r>
          </w:p>
        </w:tc>
        <w:tc>
          <w:tcPr>
            <w:tcW w:w="3439" w:type="pct"/>
            <w:vAlign w:val="center"/>
          </w:tcPr>
          <w:p>
            <w:pPr>
              <w:autoSpaceDE w:val="0"/>
              <w:autoSpaceDN w:val="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5人</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19</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评标方法</w:t>
            </w:r>
          </w:p>
        </w:tc>
        <w:tc>
          <w:tcPr>
            <w:tcW w:w="3439" w:type="pct"/>
            <w:vAlign w:val="center"/>
          </w:tcPr>
          <w:p>
            <w:pPr>
              <w:autoSpaceDE w:val="0"/>
              <w:autoSpaceDN w:val="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 经评审的最低投标价法</w:t>
            </w:r>
          </w:p>
          <w:p>
            <w:pPr>
              <w:autoSpaceDE w:val="0"/>
              <w:autoSpaceDN w:val="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sym w:font="Wingdings 2" w:char="0052"/>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综合评分法</w:t>
            </w:r>
          </w:p>
          <w:p>
            <w:pPr>
              <w:spacing w:line="320" w:lineRule="exact"/>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 xml:space="preserve">□ 其他：___________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20</w:t>
            </w:r>
          </w:p>
        </w:tc>
        <w:tc>
          <w:tcPr>
            <w:tcW w:w="1099" w:type="pct"/>
            <w:vAlign w:val="center"/>
          </w:tcPr>
          <w:p>
            <w:pPr>
              <w:autoSpaceDE w:val="0"/>
              <w:autoSpaceDN w:val="0"/>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*履约保证金金额和形式</w:t>
            </w:r>
          </w:p>
        </w:tc>
        <w:tc>
          <w:tcPr>
            <w:tcW w:w="3439" w:type="pct"/>
            <w:vAlign w:val="center"/>
          </w:tcPr>
          <w:p>
            <w:pPr>
              <w:pStyle w:val="19"/>
              <w:ind w:firstLine="0" w:firstLineChars="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不要求</w:t>
            </w:r>
          </w:p>
          <w:p>
            <w:pPr>
              <w:autoSpaceDE w:val="0"/>
              <w:autoSpaceDN w:val="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sym w:font="Wingdings 2" w:char="0052"/>
            </w:r>
            <w:r>
              <w:rPr>
                <w:rFonts w:hint="eastAsia" w:asciiTheme="minorEastAsia" w:hAnsiTheme="minorEastAsia" w:eastAsiaTheme="minorEastAsia" w:cstheme="minorEastAsia"/>
                <w:color w:val="auto"/>
                <w:highlight w:val="none"/>
              </w:rPr>
              <w:t xml:space="preserve">  要求，具体要求如下：按人民币</w:t>
            </w:r>
            <w:r>
              <w:rPr>
                <w:rFonts w:hint="eastAsia" w:asciiTheme="minorEastAsia" w:hAnsiTheme="minorEastAsia" w:eastAsiaTheme="minorEastAsia" w:cstheme="minorEastAsia"/>
                <w:color w:val="auto"/>
                <w:highlight w:val="none"/>
                <w:lang w:val="en-US" w:eastAsia="zh-CN"/>
              </w:rPr>
              <w:t>5</w:t>
            </w:r>
            <w:r>
              <w:rPr>
                <w:rFonts w:hint="eastAsia" w:asciiTheme="minorEastAsia" w:hAnsiTheme="minorEastAsia" w:eastAsiaTheme="minorEastAsia" w:cstheme="minorEastAsia"/>
                <w:color w:val="auto"/>
                <w:highlight w:val="none"/>
              </w:rPr>
              <w:t>万元/家收取，中标人自合同签订之日起30天内缴纳合同履约保证金至合同签订主体指定账户。合同期履行完毕，合同签订主体扣除违约金（如有）后，将剩余履约保证金返还中标人。</w:t>
            </w:r>
          </w:p>
          <w:p>
            <w:pPr>
              <w:pStyle w:val="19"/>
              <w:ind w:left="0" w:leftChars="0" w:firstLine="0" w:firstLineChars="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保证金收款账户信息：</w:t>
            </w:r>
          </w:p>
          <w:p>
            <w:pPr>
              <w:rPr>
                <w:rFonts w:hint="default" w:asciiTheme="minorEastAsia" w:hAnsiTheme="minorEastAsia" w:eastAsiaTheme="minorEastAsia" w:cstheme="minorEastAsia"/>
                <w:color w:val="auto"/>
                <w:highlight w:val="none"/>
                <w:lang w:eastAsia="zh-CN"/>
                <w:woUserID w:val="1"/>
              </w:rPr>
            </w:pPr>
            <w:r>
              <w:rPr>
                <w:rFonts w:hint="eastAsia" w:asciiTheme="minorEastAsia" w:hAnsiTheme="minorEastAsia" w:eastAsiaTheme="minorEastAsia" w:cstheme="minorEastAsia"/>
                <w:color w:val="auto"/>
                <w:highlight w:val="none"/>
                <w:lang w:val="en-US" w:eastAsia="zh-CN"/>
              </w:rPr>
              <w:t>账户名：</w:t>
            </w:r>
            <w:r>
              <w:rPr>
                <w:rFonts w:hint="default" w:asciiTheme="minorEastAsia" w:hAnsiTheme="minorEastAsia" w:eastAsiaTheme="minorEastAsia" w:cstheme="minorEastAsia"/>
                <w:color w:val="auto"/>
                <w:highlight w:val="none"/>
                <w:lang w:eastAsia="zh-CN"/>
                <w:woUserID w:val="1"/>
              </w:rPr>
              <w:t>苏州康诚仓储有限公司</w:t>
            </w:r>
          </w:p>
          <w:p>
            <w:pPr>
              <w:pStyle w:val="19"/>
              <w:ind w:left="0" w:leftChars="0" w:firstLine="0" w:firstLineChars="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开户行：</w:t>
            </w:r>
            <w:r>
              <w:rPr>
                <w:rFonts w:hint="eastAsia" w:ascii="宋体" w:hAnsi="宋体" w:eastAsia="宋体" w:cs="宋体"/>
                <w:kern w:val="2"/>
                <w:sz w:val="21"/>
                <w:szCs w:val="21"/>
                <w:woUserID w:val="1"/>
              </w:rPr>
              <w:t>工商银行苏州高新区浒关开发区支行</w:t>
            </w:r>
          </w:p>
          <w:p>
            <w:pPr>
              <w:pStyle w:val="19"/>
              <w:ind w:left="0" w:leftChars="0" w:firstLine="0" w:firstLineChars="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账号：</w:t>
            </w:r>
            <w:bookmarkStart w:id="105" w:name="_GoBack"/>
            <w:r>
              <w:rPr>
                <w:rFonts w:hint="default" w:ascii="Calibri" w:hAnsi="Calibri" w:eastAsia="宋体" w:cs="Calibri"/>
                <w:kern w:val="2"/>
                <w:sz w:val="21"/>
                <w:szCs w:val="21"/>
                <w:woUserID w:val="1"/>
              </w:rPr>
              <w:t>1102181419000050374</w:t>
            </w:r>
            <w:bookmarkEnd w:id="105"/>
          </w:p>
          <w:p>
            <w:pPr>
              <w:rPr>
                <w:rFonts w:hint="eastAsia" w:asciiTheme="minorEastAsia" w:hAnsiTheme="minorEastAsia" w:eastAsiaTheme="minorEastAsia" w:cstheme="minorEastAsia"/>
                <w:color w:val="auto"/>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21</w:t>
            </w:r>
          </w:p>
        </w:tc>
        <w:tc>
          <w:tcPr>
            <w:tcW w:w="1099" w:type="pct"/>
            <w:vAlign w:val="center"/>
          </w:tcPr>
          <w:p>
            <w:pPr>
              <w:autoSpaceDE w:val="0"/>
              <w:autoSpaceDN w:val="0"/>
              <w:jc w:val="center"/>
              <w:rPr>
                <w:rFonts w:hint="eastAsia" w:asciiTheme="minorEastAsia" w:hAnsiTheme="minorEastAsia" w:eastAsiaTheme="minorEastAsia" w:cstheme="minorEastAsia"/>
                <w:color w:val="000000" w:themeColor="text1"/>
                <w:szCs w:val="22"/>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2"/>
                <w:highlight w:val="none"/>
                <w14:textFill>
                  <w14:solidFill>
                    <w14:schemeClr w14:val="tx1"/>
                  </w14:solidFill>
                </w14:textFill>
              </w:rPr>
              <w:t>付款方式</w:t>
            </w:r>
          </w:p>
        </w:tc>
        <w:tc>
          <w:tcPr>
            <w:tcW w:w="3439" w:type="pct"/>
            <w:vAlign w:val="center"/>
          </w:tcPr>
          <w:p>
            <w:pPr>
              <w:pStyle w:val="19"/>
              <w:ind w:firstLine="0" w:firstLineChars="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一、合同签约方式：</w:t>
            </w:r>
          </w:p>
          <w:p>
            <w:pPr>
              <w:pStyle w:val="19"/>
              <w:ind w:firstLine="0" w:firstLineChars="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中标单位确认后，由甲方按照各开票主体进行合同签约</w:t>
            </w:r>
          </w:p>
          <w:p>
            <w:pPr>
              <w:pStyle w:val="19"/>
              <w:ind w:firstLine="0" w:firstLineChars="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二、付款方式：</w:t>
            </w:r>
          </w:p>
          <w:p>
            <w:pPr>
              <w:pStyle w:val="19"/>
              <w:ind w:firstLine="0" w:firstLineChars="0"/>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结算付款由中标人开票至甲方指定抬头</w:t>
            </w:r>
          </w:p>
          <w:p>
            <w:pPr>
              <w:pStyle w:val="18"/>
              <w:rPr>
                <w:rFonts w:hint="eastAsia" w:asciiTheme="minorEastAsia" w:hAnsiTheme="minorEastAsia" w:eastAsiaTheme="minorEastAsia" w:cstheme="minorEastAsia"/>
                <w:color w:val="000000" w:themeColor="text1"/>
                <w:highlight w:val="none"/>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以自然月为结算周期，即：每月</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26</w:t>
            </w:r>
            <w:r>
              <w:rPr>
                <w:rFonts w:hint="eastAsia" w:asciiTheme="minorEastAsia" w:hAnsiTheme="minorEastAsia" w:eastAsiaTheme="minorEastAsia" w:cstheme="minorEastAsia"/>
                <w:color w:val="000000" w:themeColor="text1"/>
                <w:highlight w:val="none"/>
                <w14:textFill>
                  <w14:solidFill>
                    <w14:schemeClr w14:val="tx1"/>
                  </w14:solidFill>
                </w14:textFill>
              </w:rPr>
              <w:t>日至</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次月</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25</w:t>
            </w:r>
            <w:r>
              <w:rPr>
                <w:rFonts w:hint="eastAsia" w:asciiTheme="minorEastAsia" w:hAnsiTheme="minorEastAsia" w:eastAsiaTheme="minorEastAsia" w:cstheme="minorEastAsia"/>
                <w:color w:val="000000" w:themeColor="text1"/>
                <w:highlight w:val="none"/>
                <w14:textFill>
                  <w14:solidFill>
                    <w14:schemeClr w14:val="tx1"/>
                  </w14:solidFill>
                </w14:textFill>
              </w:rPr>
              <w:t>日。甲方于</w:t>
            </w:r>
            <w:r>
              <w:rPr>
                <w:rFonts w:hint="eastAsia" w:asciiTheme="minorEastAsia" w:hAnsiTheme="minorEastAsia" w:eastAsiaTheme="minorEastAsia" w:cstheme="minorEastAsia"/>
                <w:color w:val="000000" w:themeColor="text1"/>
                <w:highlight w:val="none"/>
                <w:lang w:eastAsia="zh-CN"/>
                <w14:textFill>
                  <w14:solidFill>
                    <w14:schemeClr w14:val="tx1"/>
                  </w14:solidFill>
                </w14:textFill>
              </w:rPr>
              <w:t>第三</w:t>
            </w:r>
            <w:r>
              <w:rPr>
                <w:rFonts w:hint="eastAsia" w:asciiTheme="minorEastAsia" w:hAnsiTheme="minorEastAsia" w:eastAsiaTheme="minorEastAsia" w:cstheme="minorEastAsia"/>
                <w:color w:val="000000" w:themeColor="text1"/>
                <w:highlight w:val="none"/>
                <w14:textFill>
                  <w14:solidFill>
                    <w14:schemeClr w14:val="tx1"/>
                  </w14:solidFill>
                </w14:textFill>
              </w:rPr>
              <w:t>月</w:t>
            </w:r>
            <w:r>
              <w:rPr>
                <w:rFonts w:hint="eastAsia" w:asciiTheme="minorEastAsia" w:hAnsiTheme="minorEastAsia" w:eastAsiaTheme="minorEastAsia" w:cstheme="minorEastAsia"/>
                <w:color w:val="000000" w:themeColor="text1"/>
                <w:highlight w:val="non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highlight w:val="none"/>
                <w14:textFill>
                  <w14:solidFill>
                    <w14:schemeClr w14:val="tx1"/>
                  </w14:solidFill>
                </w14:textFill>
              </w:rPr>
              <w:t>日前将上月乙方承运趟次的对账单及考核、赔偿扣款情况（如有）等材料交与乙方核对，乙方核对无误后，由甲方给乙方出具《结算确认单》，乙方确认后，根据《结算确认单》记载的运费金额开具税率为_9_%的正式增值税专用发票。甲方收到乙方确认过的《结算确认单》及符合甲方要求的增值税专用发票之日起_30_日内将相应邮路运费付至本合同约定的乙方账户内。</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461" w:type="pct"/>
            <w:vAlign w:val="center"/>
          </w:tcPr>
          <w:p>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22</w:t>
            </w:r>
          </w:p>
        </w:tc>
        <w:tc>
          <w:tcPr>
            <w:tcW w:w="1099" w:type="pct"/>
            <w:vAlign w:val="center"/>
          </w:tcPr>
          <w:p>
            <w:pPr>
              <w:autoSpaceDE w:val="0"/>
              <w:autoSpaceDN w:val="0"/>
              <w:jc w:val="center"/>
              <w:rPr>
                <w:rFonts w:hint="eastAsia" w:asciiTheme="minorEastAsia" w:hAnsiTheme="minorEastAsia" w:eastAsiaTheme="minorEastAsia" w:cstheme="minorEastAsia"/>
                <w:b/>
                <w:bCs/>
                <w:color w:val="000000" w:themeColor="text1"/>
                <w14:textFill>
                  <w14:solidFill>
                    <w14:schemeClr w14:val="tx1"/>
                  </w14:solidFill>
                </w14:textFill>
              </w:rPr>
            </w:pPr>
            <w:r>
              <w:rPr>
                <w:rFonts w:hint="eastAsia" w:asciiTheme="minorEastAsia" w:hAnsiTheme="minorEastAsia" w:eastAsiaTheme="minorEastAsia" w:cstheme="minorEastAsia"/>
                <w:b/>
                <w:bCs/>
                <w:color w:val="000000" w:themeColor="text1"/>
                <w14:textFill>
                  <w14:solidFill>
                    <w14:schemeClr w14:val="tx1"/>
                  </w14:solidFill>
                </w14:textFill>
              </w:rPr>
              <w:t>现场开标文件明细</w:t>
            </w:r>
          </w:p>
        </w:tc>
        <w:tc>
          <w:tcPr>
            <w:tcW w:w="3439" w:type="pct"/>
            <w:vAlign w:val="center"/>
          </w:tcPr>
          <w:p>
            <w:pPr>
              <w:pStyle w:val="196"/>
              <w:numPr>
                <w:ilvl w:val="0"/>
                <w:numId w:val="7"/>
              </w:numPr>
              <w:autoSpaceDE w:val="0"/>
              <w:autoSpaceDN w:val="0"/>
              <w:ind w:firstLineChars="0"/>
              <w:rPr>
                <w:rFonts w:hint="eastAsia" w:asciiTheme="minorEastAsia" w:hAnsiTheme="minorEastAsia" w:eastAsiaTheme="minorEastAsia" w:cstheme="minorEastAsia"/>
                <w:b/>
                <w:bCs/>
                <w:color w:val="000000" w:themeColor="text1"/>
                <w14:textFill>
                  <w14:solidFill>
                    <w14:schemeClr w14:val="tx1"/>
                  </w14:solidFill>
                </w14:textFill>
              </w:rPr>
            </w:pPr>
            <w:r>
              <w:rPr>
                <w:rFonts w:hint="eastAsia" w:asciiTheme="minorEastAsia" w:hAnsiTheme="minorEastAsia" w:eastAsiaTheme="minorEastAsia" w:cstheme="minorEastAsia"/>
                <w:b/>
                <w:bCs/>
                <w:color w:val="000000" w:themeColor="text1"/>
                <w:lang w:eastAsia="zh-CN"/>
                <w14:textFill>
                  <w14:solidFill>
                    <w14:schemeClr w14:val="tx1"/>
                  </w14:solidFill>
                </w14:textFill>
              </w:rPr>
              <w:t>招标线路</w:t>
            </w:r>
            <w:r>
              <w:rPr>
                <w:rFonts w:hint="eastAsia" w:asciiTheme="minorEastAsia" w:hAnsiTheme="minorEastAsia" w:eastAsiaTheme="minorEastAsia" w:cstheme="minorEastAsia"/>
                <w:b/>
                <w:bCs/>
                <w:color w:val="000000" w:themeColor="text1"/>
                <w14:textFill>
                  <w14:solidFill>
                    <w14:schemeClr w14:val="tx1"/>
                  </w14:solidFill>
                </w14:textFill>
              </w:rPr>
              <w:t>表（电子版）（参考附件</w:t>
            </w:r>
            <w:r>
              <w:rPr>
                <w:rFonts w:hint="eastAsia" w:asciiTheme="minorEastAsia" w:hAnsiTheme="minorEastAsia" w:eastAsiaTheme="minorEastAsia" w:cstheme="minorEastAsia"/>
                <w:b/>
                <w:bCs/>
                <w:color w:val="000000" w:themeColor="text1"/>
                <w:lang w:val="en-US" w:eastAsia="zh-CN"/>
                <w14:textFill>
                  <w14:solidFill>
                    <w14:schemeClr w14:val="tx1"/>
                  </w14:solidFill>
                </w14:textFill>
              </w:rPr>
              <w:t>一</w:t>
            </w:r>
            <w:r>
              <w:rPr>
                <w:rFonts w:hint="eastAsia" w:asciiTheme="minorEastAsia" w:hAnsiTheme="minorEastAsia" w:eastAsiaTheme="minorEastAsia" w:cstheme="minorEastAsia"/>
                <w:b/>
                <w:bCs/>
                <w:color w:val="000000" w:themeColor="text1"/>
                <w14:textFill>
                  <w14:solidFill>
                    <w14:schemeClr w14:val="tx1"/>
                  </w14:solidFill>
                </w14:textFill>
              </w:rPr>
              <w:t>）</w:t>
            </w:r>
          </w:p>
          <w:p>
            <w:pPr>
              <w:pStyle w:val="19"/>
              <w:numPr>
                <w:ilvl w:val="0"/>
                <w:numId w:val="7"/>
              </w:numPr>
              <w:ind w:firstLineChars="0"/>
              <w:rPr>
                <w:rFonts w:hint="eastAsia" w:asciiTheme="minorEastAsia" w:hAnsiTheme="minorEastAsia" w:eastAsiaTheme="minorEastAsia" w:cstheme="minorEastAsia"/>
                <w:b/>
                <w:bCs/>
                <w:color w:val="000000" w:themeColor="text1"/>
                <w14:textFill>
                  <w14:solidFill>
                    <w14:schemeClr w14:val="tx1"/>
                  </w14:solidFill>
                </w14:textFill>
              </w:rPr>
            </w:pPr>
            <w:r>
              <w:rPr>
                <w:rFonts w:hint="eastAsia" w:asciiTheme="minorEastAsia" w:hAnsiTheme="minorEastAsia" w:eastAsiaTheme="minorEastAsia" w:cstheme="minorEastAsia"/>
                <w:b/>
                <w:bCs/>
                <w:color w:val="000000" w:themeColor="text1"/>
                <w:highlight w:val="none"/>
                <w:lang w:val="en-US" w:eastAsia="zh-CN"/>
                <w14:textFill>
                  <w14:solidFill>
                    <w14:schemeClr w14:val="tx1"/>
                  </w14:solidFill>
                </w14:textFill>
              </w:rPr>
              <w:t>中标</w:t>
            </w:r>
            <w:r>
              <w:rPr>
                <w:rFonts w:hint="eastAsia" w:asciiTheme="minorEastAsia" w:hAnsiTheme="minorEastAsia" w:eastAsiaTheme="minorEastAsia" w:cstheme="minorEastAsia"/>
                <w:b/>
                <w:bCs/>
                <w:color w:val="000000" w:themeColor="text1"/>
                <w:highlight w:val="none"/>
                <w14:textFill>
                  <w14:solidFill>
                    <w14:schemeClr w14:val="tx1"/>
                  </w14:solidFill>
                </w14:textFill>
              </w:rPr>
              <w:t>承运商</w:t>
            </w:r>
            <w:r>
              <w:rPr>
                <w:rFonts w:hint="eastAsia" w:asciiTheme="minorEastAsia" w:hAnsiTheme="minorEastAsia" w:eastAsiaTheme="minorEastAsia" w:cstheme="minorEastAsia"/>
                <w:b/>
                <w:bCs/>
                <w:color w:val="000000" w:themeColor="text1"/>
                <w:highlight w:val="none"/>
                <w:lang w:val="en-US" w:eastAsia="zh-CN"/>
                <w14:textFill>
                  <w14:solidFill>
                    <w14:schemeClr w14:val="tx1"/>
                  </w14:solidFill>
                </w14:textFill>
              </w:rPr>
              <w:t>需提供招标明细</w:t>
            </w:r>
            <w:r>
              <w:rPr>
                <w:rFonts w:hint="eastAsia" w:asciiTheme="minorEastAsia" w:hAnsiTheme="minorEastAsia" w:eastAsiaTheme="minorEastAsia" w:cstheme="minorEastAsia"/>
                <w:b/>
                <w:bCs/>
                <w:color w:val="000000" w:themeColor="text1"/>
                <w:highlight w:val="none"/>
                <w14:textFill>
                  <w14:solidFill>
                    <w14:schemeClr w14:val="tx1"/>
                  </w14:solidFill>
                </w14:textFill>
              </w:rPr>
              <w:t>需盖章文件（纸质版）（参考附件</w:t>
            </w:r>
            <w:r>
              <w:rPr>
                <w:rFonts w:hint="eastAsia" w:asciiTheme="minorEastAsia" w:hAnsiTheme="minorEastAsia" w:eastAsiaTheme="minorEastAsia" w:cstheme="minorEastAsia"/>
                <w:b/>
                <w:bCs/>
                <w:color w:val="000000" w:themeColor="text1"/>
                <w:highlight w:val="none"/>
                <w:lang w:val="en-US" w:eastAsia="zh-CN"/>
                <w14:textFill>
                  <w14:solidFill>
                    <w14:schemeClr w14:val="tx1"/>
                  </w14:solidFill>
                </w14:textFill>
              </w:rPr>
              <w:t>一、四</w:t>
            </w:r>
            <w:r>
              <w:rPr>
                <w:rFonts w:hint="eastAsia" w:asciiTheme="minorEastAsia" w:hAnsiTheme="minorEastAsia" w:eastAsiaTheme="minorEastAsia" w:cstheme="minorEastAsia"/>
                <w:b/>
                <w:bCs/>
                <w:color w:val="000000" w:themeColor="text1"/>
                <w:highlight w:val="none"/>
                <w14:textFill>
                  <w14:solidFill>
                    <w14:schemeClr w14:val="tx1"/>
                  </w14:solidFill>
                </w14:textFill>
              </w:rPr>
              <w:t>）</w:t>
            </w:r>
          </w:p>
        </w:tc>
      </w:tr>
    </w:tbl>
    <w:p>
      <w:pPr>
        <w:pStyle w:val="2"/>
        <w:spacing w:before="0" w:after="0"/>
        <w:jc w:val="both"/>
        <w:rPr>
          <w:rFonts w:hint="eastAsia" w:asciiTheme="minorEastAsia" w:hAnsiTheme="minorEastAsia" w:eastAsiaTheme="minorEastAsia" w:cstheme="minorEastAsia"/>
          <w:color w:val="000000" w:themeColor="text1"/>
          <w:szCs w:val="22"/>
          <w14:textFill>
            <w14:solidFill>
              <w14:schemeClr w14:val="tx1"/>
            </w14:solidFill>
          </w14:textFill>
        </w:rPr>
      </w:pPr>
      <w:bookmarkStart w:id="63" w:name="_Toc19360"/>
      <w:bookmarkStart w:id="64" w:name="_Toc8455"/>
      <w:bookmarkStart w:id="65" w:name="_Toc209"/>
      <w:bookmarkStart w:id="66" w:name="_Toc447265324"/>
      <w:bookmarkStart w:id="67" w:name="_Toc482640628"/>
      <w:bookmarkStart w:id="68" w:name="_Toc474507721"/>
      <w:bookmarkStart w:id="69" w:name="_Toc447265610"/>
    </w:p>
    <w:p>
      <w:pPr>
        <w:pStyle w:val="2"/>
        <w:spacing w:before="0" w:after="0"/>
        <w:jc w:val="center"/>
        <w:rPr>
          <w:rFonts w:hint="eastAsia" w:asciiTheme="minorEastAsia" w:hAnsiTheme="minorEastAsia" w:eastAsiaTheme="minorEastAsia" w:cstheme="minorEastAsia"/>
          <w:color w:val="000000" w:themeColor="text1"/>
          <w:szCs w:val="22"/>
          <w14:textFill>
            <w14:solidFill>
              <w14:schemeClr w14:val="tx1"/>
            </w14:solidFill>
          </w14:textFill>
        </w:rPr>
      </w:pPr>
      <w:bookmarkStart w:id="70" w:name="_Toc20685"/>
      <w:r>
        <w:rPr>
          <w:rFonts w:hint="eastAsia" w:asciiTheme="minorEastAsia" w:hAnsiTheme="minorEastAsia" w:eastAsiaTheme="minorEastAsia" w:cstheme="minorEastAsia"/>
          <w:color w:val="000000" w:themeColor="text1"/>
          <w:szCs w:val="22"/>
          <w14:textFill>
            <w14:solidFill>
              <w14:schemeClr w14:val="tx1"/>
            </w14:solidFill>
          </w14:textFill>
        </w:rPr>
        <w:t xml:space="preserve">第三章 </w:t>
      </w:r>
      <w:bookmarkEnd w:id="63"/>
      <w:bookmarkEnd w:id="64"/>
      <w:r>
        <w:rPr>
          <w:rFonts w:hint="eastAsia" w:asciiTheme="minorEastAsia" w:hAnsiTheme="minorEastAsia" w:eastAsiaTheme="minorEastAsia" w:cstheme="minorEastAsia"/>
          <w:color w:val="000000" w:themeColor="text1"/>
          <w:szCs w:val="22"/>
          <w14:textFill>
            <w14:solidFill>
              <w14:schemeClr w14:val="tx1"/>
            </w14:solidFill>
          </w14:textFill>
        </w:rPr>
        <w:t>评标办法（综合评分法）</w:t>
      </w:r>
      <w:bookmarkEnd w:id="65"/>
      <w:bookmarkEnd w:id="70"/>
    </w:p>
    <w:p>
      <w:pPr>
        <w:pStyle w:val="3"/>
        <w:tabs>
          <w:tab w:val="left" w:pos="1260"/>
        </w:tabs>
        <w:jc w:val="center"/>
        <w:rPr>
          <w:rFonts w:hint="eastAsia" w:asciiTheme="minorEastAsia" w:hAnsiTheme="minorEastAsia" w:eastAsiaTheme="minorEastAsia" w:cstheme="minorEastAsia"/>
          <w:color w:val="000000" w:themeColor="text1"/>
          <w14:textFill>
            <w14:solidFill>
              <w14:schemeClr w14:val="tx1"/>
            </w14:solidFill>
          </w14:textFill>
        </w:rPr>
      </w:pPr>
      <w:bookmarkStart w:id="71" w:name="_Toc12939"/>
      <w:bookmarkStart w:id="72" w:name="_Toc456551349"/>
      <w:bookmarkStart w:id="73" w:name="_Toc13205"/>
      <w:bookmarkStart w:id="74" w:name="_Toc472688547"/>
      <w:bookmarkStart w:id="75" w:name="_Toc23136"/>
      <w:r>
        <w:rPr>
          <w:rFonts w:hint="eastAsia" w:asciiTheme="minorEastAsia" w:hAnsiTheme="minorEastAsia" w:eastAsiaTheme="minorEastAsia" w:cstheme="minorEastAsia"/>
          <w:color w:val="000000" w:themeColor="text1"/>
          <w14:textFill>
            <w14:solidFill>
              <w14:schemeClr w14:val="tx1"/>
            </w14:solidFill>
          </w14:textFill>
        </w:rPr>
        <w:t>评标办法</w:t>
      </w:r>
      <w:bookmarkEnd w:id="71"/>
      <w:bookmarkEnd w:id="72"/>
      <w:bookmarkEnd w:id="73"/>
      <w:bookmarkEnd w:id="74"/>
      <w:r>
        <w:rPr>
          <w:rFonts w:hint="eastAsia" w:asciiTheme="minorEastAsia" w:hAnsiTheme="minorEastAsia" w:eastAsiaTheme="minorEastAsia" w:cstheme="minorEastAsia"/>
          <w:color w:val="000000" w:themeColor="text1"/>
          <w14:textFill>
            <w14:solidFill>
              <w14:schemeClr w14:val="tx1"/>
            </w14:solidFill>
          </w14:textFill>
        </w:rPr>
        <w:t>细则</w:t>
      </w:r>
      <w:bookmarkEnd w:id="75"/>
    </w:p>
    <w:p>
      <w:pPr>
        <w:pStyle w:val="3"/>
        <w:numPr>
          <w:ilvl w:val="0"/>
          <w:numId w:val="8"/>
        </w:numPr>
        <w:ind w:left="220"/>
        <w:rPr>
          <w:rFonts w:hint="eastAsia" w:asciiTheme="minorEastAsia" w:hAnsiTheme="minorEastAsia" w:eastAsiaTheme="minorEastAsia" w:cstheme="minorEastAsia"/>
          <w:color w:val="000000" w:themeColor="text1"/>
          <w14:textFill>
            <w14:solidFill>
              <w14:schemeClr w14:val="tx1"/>
            </w14:solidFill>
          </w14:textFill>
        </w:rPr>
      </w:pPr>
      <w:bookmarkStart w:id="76" w:name="_Toc10542"/>
      <w:bookmarkStart w:id="77" w:name="_Toc488002618"/>
      <w:bookmarkStart w:id="78" w:name="_Toc4865"/>
      <w:bookmarkStart w:id="79" w:name="_Toc17364"/>
      <w:r>
        <w:rPr>
          <w:rFonts w:hint="eastAsia" w:asciiTheme="minorEastAsia" w:hAnsiTheme="minorEastAsia" w:eastAsiaTheme="minorEastAsia" w:cstheme="minorEastAsia"/>
          <w:color w:val="000000" w:themeColor="text1"/>
          <w14:textFill>
            <w14:solidFill>
              <w14:schemeClr w14:val="tx1"/>
            </w14:solidFill>
          </w14:textFill>
        </w:rPr>
        <w:t>评标方法</w:t>
      </w:r>
      <w:bookmarkEnd w:id="76"/>
      <w:bookmarkEnd w:id="77"/>
      <w:bookmarkEnd w:id="78"/>
      <w:bookmarkEnd w:id="79"/>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本招标项目评标采用综合评分法。评标委员会对满足询价文件实质要求的询价文件，根据本章第2.2款规定的评分因素和评分标准进行评分，按照综合评分由高到低的顺序推荐中标候选人，或者根据招标人授权直接确定中标人，但投标报价低于其成本的除外。</w:t>
      </w:r>
    </w:p>
    <w:p>
      <w:pPr>
        <w:pStyle w:val="3"/>
        <w:numPr>
          <w:ilvl w:val="0"/>
          <w:numId w:val="8"/>
        </w:numPr>
        <w:ind w:left="5" w:hanging="5"/>
        <w:rPr>
          <w:rFonts w:hint="eastAsia" w:asciiTheme="minorEastAsia" w:hAnsiTheme="minorEastAsia" w:eastAsiaTheme="minorEastAsia" w:cstheme="minorEastAsia"/>
          <w:color w:val="000000" w:themeColor="text1"/>
          <w14:textFill>
            <w14:solidFill>
              <w14:schemeClr w14:val="tx1"/>
            </w14:solidFill>
          </w14:textFill>
        </w:rPr>
      </w:pPr>
      <w:bookmarkStart w:id="80" w:name="_Toc2309"/>
      <w:bookmarkStart w:id="81" w:name="_Toc30238"/>
      <w:bookmarkStart w:id="82" w:name="_Toc16293"/>
      <w:bookmarkStart w:id="83" w:name="_Toc488002619"/>
      <w:r>
        <w:rPr>
          <w:rFonts w:hint="eastAsia" w:asciiTheme="minorEastAsia" w:hAnsiTheme="minorEastAsia" w:eastAsiaTheme="minorEastAsia" w:cstheme="minorEastAsia"/>
          <w:color w:val="000000" w:themeColor="text1"/>
          <w14:textFill>
            <w14:solidFill>
              <w14:schemeClr w14:val="tx1"/>
            </w14:solidFill>
          </w14:textFill>
        </w:rPr>
        <w:t>评审标准</w:t>
      </w:r>
      <w:bookmarkEnd w:id="80"/>
      <w:bookmarkEnd w:id="81"/>
      <w:bookmarkEnd w:id="82"/>
      <w:bookmarkEnd w:id="83"/>
    </w:p>
    <w:p>
      <w:pPr>
        <w:pStyle w:val="6"/>
        <w:ind w:firstLine="0" w:firstLineChars="0"/>
        <w:rPr>
          <w:rFonts w:hint="eastAsia" w:asciiTheme="minorEastAsia" w:hAnsiTheme="minorEastAsia" w:eastAsiaTheme="minorEastAsia" w:cstheme="minorEastAsia"/>
          <w:color w:val="000000" w:themeColor="text1"/>
          <w14:textFill>
            <w14:solidFill>
              <w14:schemeClr w14:val="tx1"/>
            </w14:solidFill>
          </w14:textFill>
        </w:rPr>
      </w:pPr>
      <w:bookmarkStart w:id="84" w:name="_Toc11471"/>
      <w:bookmarkStart w:id="85" w:name="_Toc488002621"/>
      <w:bookmarkStart w:id="86" w:name="_Toc20417"/>
      <w:bookmarkStart w:id="87" w:name="_Toc31126"/>
      <w:r>
        <w:rPr>
          <w:rFonts w:hint="eastAsia" w:asciiTheme="minorEastAsia" w:hAnsiTheme="minorEastAsia" w:eastAsiaTheme="minorEastAsia" w:cstheme="minorEastAsia"/>
          <w:color w:val="000000" w:themeColor="text1"/>
          <w14:textFill>
            <w14:solidFill>
              <w14:schemeClr w14:val="tx1"/>
            </w14:solidFill>
          </w14:textFill>
        </w:rPr>
        <w:t>2.1详细评审标准</w:t>
      </w:r>
      <w:bookmarkEnd w:id="84"/>
      <w:bookmarkEnd w:id="85"/>
      <w:bookmarkEnd w:id="86"/>
      <w:bookmarkEnd w:id="87"/>
    </w:p>
    <w:p>
      <w:pPr>
        <w:pStyle w:val="9"/>
        <w:ind w:firstLine="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2.1.1评审流程：</w:t>
      </w:r>
    </w:p>
    <w:p>
      <w:pPr>
        <w:pStyle w:val="9"/>
        <w:ind w:firstLine="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第一轮：价格评分初审，每个标包价格得分排名前4名进入第二轮</w:t>
      </w:r>
    </w:p>
    <w:p>
      <w:pPr>
        <w:pStyle w:val="9"/>
        <w:ind w:firstLine="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第二轮：入围投标人可在第二轮现场对报价进行二次调整（仅可对报价进行调整，不得上浮），现场调整完成后，将重新计算最终价格评分</w:t>
      </w:r>
    </w:p>
    <w:p>
      <w:pPr>
        <w:pStyle w:val="9"/>
        <w:ind w:firstLine="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商务评审后根据综合得分进行排名，每个标段排名前</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14:textFill>
            <w14:solidFill>
              <w14:schemeClr w14:val="tx1"/>
            </w14:solidFill>
          </w14:textFill>
        </w:rPr>
        <w:t>名的投标人成为中标候选人，最后经公司评定后，确定每个标段1</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14:textFill>
            <w14:solidFill>
              <w14:schemeClr w14:val="tx1"/>
            </w14:solidFill>
          </w14:textFill>
        </w:rPr>
        <w:t>名中标人，1名投标人最多可同时中标3个标段</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2.2.1 详细评审标准如下：本次采购的评审工作采取综合评分法。按价格、商务两部分评分，总分100分，价格(</w:t>
      </w: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Cs w:val="21"/>
          <w14:textFill>
            <w14:solidFill>
              <w14:schemeClr w14:val="tx1"/>
            </w14:solidFill>
          </w14:textFill>
        </w:rPr>
        <w:t>0%)、商务（</w:t>
      </w: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Cs w:val="21"/>
          <w14:textFill>
            <w14:solidFill>
              <w14:schemeClr w14:val="tx1"/>
            </w14:solidFill>
          </w14:textFill>
        </w:rPr>
        <w:t>0%）</w:t>
      </w:r>
    </w:p>
    <w:tbl>
      <w:tblPr>
        <w:tblStyle w:val="46"/>
        <w:tblW w:w="953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0"/>
        <w:gridCol w:w="544"/>
        <w:gridCol w:w="1162"/>
        <w:gridCol w:w="2375"/>
        <w:gridCol w:w="3420"/>
        <w:gridCol w:w="543"/>
        <w:gridCol w:w="497"/>
        <w:gridCol w:w="5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5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32"/>
                <w:szCs w:val="32"/>
                <w:u w:val="none"/>
              </w:rPr>
            </w:pPr>
            <w:r>
              <w:rPr>
                <w:rFonts w:hint="eastAsia" w:ascii="微软雅黑" w:hAnsi="微软雅黑" w:eastAsia="微软雅黑" w:cs="微软雅黑"/>
                <w:b/>
                <w:bCs/>
                <w:i w:val="0"/>
                <w:iCs w:val="0"/>
                <w:color w:val="000000"/>
                <w:kern w:val="0"/>
                <w:sz w:val="32"/>
                <w:szCs w:val="32"/>
                <w:u w:val="none"/>
                <w:lang w:val="en-US" w:eastAsia="zh-CN" w:bidi="ar"/>
              </w:rPr>
              <w:t>大润发物流中心干线运输项目评标表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评审项目</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要求</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内容</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评审标准</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分值</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评审得分</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投标文件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响应页码批注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资格项目</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企业法人</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投标人须具有独立承担民事责任能力的企业法人（以有效的企业法人营业执照为准）</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营业执照复印件盖公章</w:t>
            </w:r>
            <w:r>
              <w:rPr>
                <w:rStyle w:val="210"/>
                <w:lang w:val="en-US" w:eastAsia="zh-CN" w:bidi="ar"/>
              </w:rPr>
              <w:t>（此项目为必要项目不满足无法参与技术审核及价格标）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三证</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投标人须具有在有效期内的法人营业执照、税务登记证、组织机构代码证（三证合一证明）</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法人及股东身份证复印件盖公章</w:t>
            </w:r>
            <w:r>
              <w:rPr>
                <w:rStyle w:val="210"/>
                <w:lang w:val="en-US" w:eastAsia="zh-CN" w:bidi="ar"/>
              </w:rPr>
              <w:t>（此项目为必要项目不满足无法参与技术审核及价格标）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注册资金</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投标人注册资金：投标物流服务商注册资金不少于</w:t>
            </w:r>
            <w:r>
              <w:rPr>
                <w:rFonts w:hint="eastAsia" w:ascii="宋体" w:hAnsi="宋体" w:eastAsia="宋体" w:cs="宋体"/>
                <w:i w:val="0"/>
                <w:iCs w:val="0"/>
                <w:color w:val="000000"/>
                <w:kern w:val="0"/>
                <w:sz w:val="21"/>
                <w:szCs w:val="21"/>
                <w:highlight w:val="yellow"/>
                <w:u w:val="none"/>
                <w:lang w:val="en-US" w:eastAsia="zh-CN" w:bidi="ar"/>
              </w:rPr>
              <w:t>50</w:t>
            </w:r>
            <w:r>
              <w:rPr>
                <w:rFonts w:hint="eastAsia" w:ascii="宋体" w:hAnsi="宋体" w:eastAsia="宋体" w:cs="宋体"/>
                <w:i w:val="0"/>
                <w:iCs w:val="0"/>
                <w:color w:val="000000"/>
                <w:kern w:val="0"/>
                <w:sz w:val="21"/>
                <w:szCs w:val="21"/>
                <w:u w:val="none"/>
                <w:lang w:val="en-US" w:eastAsia="zh-CN" w:bidi="ar"/>
              </w:rPr>
              <w:t>万元</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营业执照复印件盖公章</w:t>
            </w:r>
            <w:r>
              <w:rPr>
                <w:rStyle w:val="210"/>
                <w:lang w:val="en-US" w:eastAsia="zh-CN" w:bidi="ar"/>
              </w:rPr>
              <w:t>（此项目为必要项目不满足无法参与技术审核及价格标）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运输配送经验</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须具有二年以上运输配送经验、相关物流企业营运资质，无不良合作历史。</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资质复印文件盖章</w:t>
            </w:r>
            <w:r>
              <w:rPr>
                <w:rStyle w:val="210"/>
                <w:lang w:val="en-US" w:eastAsia="zh-CN" w:bidi="ar"/>
              </w:rPr>
              <w:t>（此项目为必要项目不满足无法参与技术审核及价格标）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增值专用发票</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能够开具运输增值专用发票（9%）</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请附上相关运输发票复印件证明</w:t>
            </w:r>
            <w:r>
              <w:rPr>
                <w:rStyle w:val="210"/>
                <w:lang w:val="en-US" w:eastAsia="zh-CN" w:bidi="ar"/>
              </w:rPr>
              <w:t>（此项目为必要项目不满足无法参与技术审核及价格标）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不接受联合投标</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本次招标不接受2家及2家以上联合投标，否则无效。</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（此项目为必要项目不满足无法参与技术审核及价格标）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车型要求</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车型要求：100%厢式货车。</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车辆行驶证复印件盖章</w:t>
            </w:r>
            <w:r>
              <w:rPr>
                <w:rStyle w:val="210"/>
                <w:lang w:val="en-US" w:eastAsia="zh-CN" w:bidi="ar"/>
              </w:rPr>
              <w:t>（此项目为必要项目不满足无法参与技术审核及价格标）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业务运营能力</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车辆自有信息及驾驶人员情况</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现行隶属于公司的自主的本区域有效运营车辆（满足我司车辆车型及数量需求）非自有车辆需提供车签约合同；公司签约或在册驾驶人员数量</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根据投标单位投标文件内所提供的有效材料，进行评分，匹配我司自有车辆需求数量的基础上，根据车辆数量及规模予以评分（需提供花名册及具体岗位安排）至少提供</w:t>
            </w:r>
            <w:r>
              <w:rPr>
                <w:rFonts w:hint="eastAsia" w:ascii="宋体" w:hAnsi="宋体" w:cs="宋体"/>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辆</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公司运营管理能力</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人员、安全管理制度是否齐全、规范；</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根据投标人投标文件所提供的材料，根据公司规模予以评分</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应急预案的处置能力</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投标人是否具备应急事件/预案（如节假日、销售高峰、店庆等活动、疫情或暴雨等、雨雪天、恶劣天气等）的处理有效措施</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承运商在投标文件中提供或截取，能佐证公司具有应急预案处理措施或机制能力的有关材料，由评委予以评分</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业务服务经验</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同等业务规模的承运服务经验</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以提供的服务质量为基础：承运商</w:t>
            </w:r>
            <w:r>
              <w:rPr>
                <w:rFonts w:hint="eastAsia" w:ascii="宋体" w:hAnsi="宋体" w:cs="宋体"/>
                <w:i w:val="0"/>
                <w:iCs w:val="0"/>
                <w:color w:val="000000"/>
                <w:kern w:val="0"/>
                <w:sz w:val="21"/>
                <w:szCs w:val="21"/>
                <w:u w:val="none"/>
                <w:lang w:val="en-US" w:eastAsia="zh-CN" w:bidi="ar"/>
              </w:rPr>
              <w:t>年销售金额达到500万及以上</w:t>
            </w:r>
            <w:r>
              <w:rPr>
                <w:rFonts w:hint="eastAsia" w:ascii="宋体" w:hAnsi="宋体" w:eastAsia="宋体" w:cs="宋体"/>
                <w:i w:val="0"/>
                <w:iCs w:val="0"/>
                <w:color w:val="000000"/>
                <w:kern w:val="0"/>
                <w:sz w:val="21"/>
                <w:szCs w:val="21"/>
                <w:u w:val="none"/>
                <w:lang w:val="en-US" w:eastAsia="zh-CN" w:bidi="ar"/>
              </w:rPr>
              <w:t>得</w:t>
            </w:r>
            <w:r>
              <w:rPr>
                <w:rFonts w:hint="eastAsia" w:ascii="宋体" w:hAnsi="宋体" w:cs="宋体"/>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w:t>
            </w:r>
            <w:r>
              <w:rPr>
                <w:rFonts w:hint="eastAsia" w:ascii="宋体" w:hAnsi="宋体" w:cs="宋体"/>
                <w:i w:val="0"/>
                <w:iCs w:val="0"/>
                <w:color w:val="000000"/>
                <w:kern w:val="0"/>
                <w:sz w:val="21"/>
                <w:szCs w:val="21"/>
                <w:u w:val="none"/>
                <w:lang w:val="en-US" w:eastAsia="zh-CN" w:bidi="ar"/>
              </w:rPr>
              <w:t>，达到200万以上</w:t>
            </w:r>
            <w:r>
              <w:rPr>
                <w:rFonts w:hint="eastAsia" w:ascii="宋体" w:hAnsi="宋体" w:eastAsia="宋体" w:cs="宋体"/>
                <w:i w:val="0"/>
                <w:iCs w:val="0"/>
                <w:color w:val="000000"/>
                <w:kern w:val="0"/>
                <w:sz w:val="21"/>
                <w:szCs w:val="21"/>
                <w:u w:val="none"/>
                <w:lang w:val="en-US" w:eastAsia="zh-CN" w:bidi="ar"/>
              </w:rPr>
              <w:t>得</w:t>
            </w:r>
            <w:r>
              <w:rPr>
                <w:rFonts w:hint="eastAsia" w:ascii="宋体" w:hAnsi="宋体" w:cs="宋体"/>
                <w:i w:val="0"/>
                <w:iCs w:val="0"/>
                <w:color w:val="000000"/>
                <w:kern w:val="0"/>
                <w:sz w:val="21"/>
                <w:szCs w:val="21"/>
                <w:u w:val="none"/>
                <w:lang w:val="en-US" w:eastAsia="zh-CN" w:bidi="ar"/>
              </w:rPr>
              <w:t>0.5</w:t>
            </w:r>
            <w:r>
              <w:rPr>
                <w:rFonts w:hint="eastAsia" w:ascii="宋体" w:hAnsi="宋体" w:eastAsia="宋体" w:cs="宋体"/>
                <w:i w:val="0"/>
                <w:iCs w:val="0"/>
                <w:color w:val="000000"/>
                <w:kern w:val="0"/>
                <w:sz w:val="21"/>
                <w:szCs w:val="21"/>
                <w:u w:val="none"/>
                <w:lang w:val="en-US" w:eastAsia="zh-CN" w:bidi="ar"/>
              </w:rPr>
              <w:t>分</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未</w:t>
            </w:r>
            <w:r>
              <w:rPr>
                <w:rFonts w:hint="eastAsia" w:ascii="宋体" w:hAnsi="宋体" w:cs="宋体"/>
                <w:i w:val="0"/>
                <w:iCs w:val="0"/>
                <w:color w:val="000000"/>
                <w:kern w:val="0"/>
                <w:sz w:val="21"/>
                <w:szCs w:val="21"/>
                <w:u w:val="none"/>
                <w:lang w:val="en-US" w:eastAsia="zh-CN" w:bidi="ar"/>
              </w:rPr>
              <w:t>达到200万者</w:t>
            </w:r>
            <w:r>
              <w:rPr>
                <w:rFonts w:hint="eastAsia" w:ascii="宋体" w:hAnsi="宋体" w:eastAsia="宋体" w:cs="宋体"/>
                <w:i w:val="0"/>
                <w:iCs w:val="0"/>
                <w:color w:val="000000"/>
                <w:kern w:val="0"/>
                <w:sz w:val="21"/>
                <w:szCs w:val="21"/>
                <w:u w:val="none"/>
                <w:lang w:val="en-US" w:eastAsia="zh-CN" w:bidi="ar"/>
              </w:rPr>
              <w:t>不得分。</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车辆设备要求</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车辆装载GPS，具备实时定位查询功能</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能满足我司本项目车辆需求，并提供承诺保函</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根据投标人投标文件所提供的材料，投放车辆承诺具备统一的GPS定位功能、现有车辆已有安装得满分；现有车辆没有安装，只有承诺得</w:t>
            </w:r>
            <w:r>
              <w:rPr>
                <w:rFonts w:hint="eastAsia" w:ascii="宋体" w:hAnsi="宋体" w:cs="宋体"/>
                <w:i w:val="0"/>
                <w:iCs w:val="0"/>
                <w:color w:val="000000"/>
                <w:kern w:val="0"/>
                <w:sz w:val="21"/>
                <w:szCs w:val="21"/>
                <w:u w:val="none"/>
                <w:lang w:val="en-US" w:eastAsia="zh-CN" w:bidi="ar"/>
              </w:rPr>
              <w:t>0.5</w:t>
            </w:r>
            <w:r>
              <w:rPr>
                <w:rFonts w:hint="eastAsia" w:ascii="宋体" w:hAnsi="宋体" w:eastAsia="宋体" w:cs="宋体"/>
                <w:i w:val="0"/>
                <w:iCs w:val="0"/>
                <w:color w:val="000000"/>
                <w:kern w:val="0"/>
                <w:sz w:val="21"/>
                <w:szCs w:val="21"/>
                <w:u w:val="none"/>
                <w:lang w:val="en-US" w:eastAsia="zh-CN" w:bidi="ar"/>
              </w:rPr>
              <w:t>分，不承诺本项得0分）</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安全保障</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承诺本项目投放车辆100%购买商业保险，其中第三者责任保险100万以上、车上人员责任险（司机）</w:t>
            </w:r>
            <w:r>
              <w:rPr>
                <w:rFonts w:hint="eastAsia" w:ascii="宋体" w:hAnsi="宋体" w:cs="宋体"/>
                <w:i w:val="0"/>
                <w:iCs w:val="0"/>
                <w:color w:val="000000"/>
                <w:kern w:val="0"/>
                <w:sz w:val="21"/>
                <w:szCs w:val="21"/>
                <w:u w:val="none"/>
                <w:lang w:val="en-US" w:eastAsia="zh-CN" w:bidi="ar"/>
              </w:rPr>
              <w:t>10</w:t>
            </w:r>
            <w:r>
              <w:rPr>
                <w:rFonts w:hint="eastAsia" w:ascii="宋体" w:hAnsi="宋体" w:eastAsia="宋体" w:cs="宋体"/>
                <w:i w:val="0"/>
                <w:iCs w:val="0"/>
                <w:color w:val="000000"/>
                <w:kern w:val="0"/>
                <w:sz w:val="21"/>
                <w:szCs w:val="21"/>
                <w:u w:val="none"/>
                <w:lang w:val="en-US" w:eastAsia="zh-CN" w:bidi="ar"/>
              </w:rPr>
              <w:t>万、车上人员责任险（乘客）</w:t>
            </w:r>
            <w:r>
              <w:rPr>
                <w:rFonts w:hint="eastAsia" w:ascii="宋体" w:hAnsi="宋体" w:cs="宋体"/>
                <w:i w:val="0"/>
                <w:iCs w:val="0"/>
                <w:color w:val="000000"/>
                <w:kern w:val="0"/>
                <w:sz w:val="21"/>
                <w:szCs w:val="21"/>
                <w:u w:val="none"/>
                <w:lang w:val="en-US" w:eastAsia="zh-CN" w:bidi="ar"/>
              </w:rPr>
              <w:t>10</w:t>
            </w:r>
            <w:r>
              <w:rPr>
                <w:rFonts w:hint="eastAsia" w:ascii="宋体" w:hAnsi="宋体" w:eastAsia="宋体" w:cs="宋体"/>
                <w:i w:val="0"/>
                <w:iCs w:val="0"/>
                <w:color w:val="000000"/>
                <w:kern w:val="0"/>
                <w:sz w:val="21"/>
                <w:szCs w:val="21"/>
                <w:u w:val="none"/>
                <w:lang w:val="en-US" w:eastAsia="zh-CN" w:bidi="ar"/>
              </w:rPr>
              <w:t>万（或提供严禁载人承诺）</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根据投标人投标文件所提供的材料，是否出具车辆运营投放承诺函，并根据承诺函内提供信息酌情评分（现有车辆满足我司投保要求且承诺后期继续按要求投保得1分，未按我司要求投保仅承诺后期按要求投保得0.5分；未承诺</w:t>
            </w:r>
            <w:r>
              <w:rPr>
                <w:rStyle w:val="210"/>
                <w:lang w:val="en-US" w:eastAsia="zh-CN" w:bidi="ar"/>
              </w:rPr>
              <w:t>本项不满足视为技术标不合格</w:t>
            </w:r>
            <w:r>
              <w:rPr>
                <w:rFonts w:hint="eastAsia" w:ascii="微软雅黑" w:hAnsi="微软雅黑" w:eastAsia="微软雅黑" w:cs="微软雅黑"/>
                <w:i w:val="0"/>
                <w:iCs w:val="0"/>
                <w:color w:val="000000"/>
                <w:kern w:val="0"/>
                <w:sz w:val="22"/>
                <w:szCs w:val="22"/>
                <w:u w:val="none"/>
                <w:lang w:val="en-US" w:eastAsia="zh-CN" w:bidi="ar"/>
              </w:rPr>
              <w:t>）</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合同审核</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承诺后续中标后完全认可我司合同不进行修改并出具承诺函</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完全认可采用我方合同范本的得</w:t>
            </w:r>
            <w:r>
              <w:rPr>
                <w:rFonts w:hint="eastAsia" w:ascii="宋体" w:hAnsi="宋体" w:cs="宋体"/>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分。（本项不满足视为技术不合格）</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管理要求</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遵循我司《运输管理条例》，并出具承诺函</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根据投标人投标文件所提供的材料，是否出具遵循我司《运输管理条例》的承诺函（满足1分，</w:t>
            </w:r>
            <w:r>
              <w:rPr>
                <w:rStyle w:val="210"/>
                <w:lang w:val="en-US" w:eastAsia="zh-CN" w:bidi="ar"/>
              </w:rPr>
              <w:t>本项不满足视为技术不合格</w:t>
            </w:r>
            <w:r>
              <w:rPr>
                <w:rFonts w:hint="eastAsia" w:ascii="微软雅黑" w:hAnsi="微软雅黑" w:eastAsia="微软雅黑" w:cs="微软雅黑"/>
                <w:i w:val="0"/>
                <w:iCs w:val="0"/>
                <w:color w:val="000000"/>
                <w:kern w:val="0"/>
                <w:sz w:val="22"/>
                <w:szCs w:val="22"/>
                <w:u w:val="none"/>
                <w:lang w:val="en-US" w:eastAsia="zh-CN" w:bidi="ar"/>
              </w:rPr>
              <w:t>）</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运营要求</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载具免费返配</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以提供的承诺函为准，满足</w:t>
            </w:r>
            <w:r>
              <w:rPr>
                <w:rFonts w:hint="eastAsia" w:ascii="宋体" w:hAnsi="宋体" w:cs="宋体"/>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分，本项不满足得0分。</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投/述标文件完整性</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投标文件按要求装订、述标资料及逻辑清晰、完整</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根据投标人所提供的投标资料及述标情况进行酌情评分</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价格</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本项目采用低价优先法</w:t>
            </w: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价格分=P基准/P*A，A为价格权重分；P基准为“所有有效投标报价的最低者”；P为投标人有效投标报价；</w:t>
            </w: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投标报价得分=所有分项有效报价得分总和，价格分最高得满分。</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4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合计</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23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3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95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评委签名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9" w:hRule="atLeast"/>
        </w:trPr>
        <w:tc>
          <w:tcPr>
            <w:tcW w:w="95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1、资格项目必须全部符合要求，如有未符合项目不得参与技术评审，视同弃标。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w:t>
            </w:r>
            <w:r>
              <w:rPr>
                <w:rStyle w:val="211"/>
                <w:lang w:val="en-US" w:eastAsia="zh-CN" w:bidi="ar"/>
              </w:rPr>
              <w:t>与我司在上个合同期内有多次营运事故者，不得参与本次技术评审</w:t>
            </w:r>
            <w:r>
              <w:rPr>
                <w:rStyle w:val="212"/>
                <w:lang w:val="en-US" w:eastAsia="zh-CN" w:bidi="ar"/>
              </w:rPr>
              <w:br w:type="textWrapping"/>
            </w:r>
            <w:r>
              <w:rPr>
                <w:rStyle w:val="212"/>
                <w:lang w:val="en-US" w:eastAsia="zh-CN" w:bidi="ar"/>
              </w:rPr>
              <w:t>3、请根据本项目技术标评审内容做具体的响应说明及具体页码批注，</w:t>
            </w:r>
            <w:r>
              <w:rPr>
                <w:rStyle w:val="212"/>
                <w:lang w:val="en-US" w:eastAsia="zh-CN" w:bidi="ar"/>
              </w:rPr>
              <w:br w:type="textWrapping"/>
            </w:r>
            <w:r>
              <w:rPr>
                <w:rStyle w:val="212"/>
                <w:lang w:val="en-US" w:eastAsia="zh-CN" w:bidi="ar"/>
              </w:rPr>
              <w:t>4、将本页做为投标文件附注装订于投标资料末页以供评审。</w:t>
            </w:r>
            <w:r>
              <w:rPr>
                <w:rStyle w:val="212"/>
                <w:lang w:val="en-US" w:eastAsia="zh-CN" w:bidi="ar"/>
              </w:rPr>
              <w:br w:type="textWrapping"/>
            </w:r>
            <w:r>
              <w:rPr>
                <w:rStyle w:val="212"/>
                <w:lang w:val="en-US" w:eastAsia="zh-CN" w:bidi="ar"/>
              </w:rPr>
              <w:t>5、每个标段得分前</w:t>
            </w:r>
            <w:r>
              <w:rPr>
                <w:rStyle w:val="212"/>
                <w:rFonts w:hint="eastAsia"/>
                <w:lang w:val="en-US" w:eastAsia="zh-CN" w:bidi="ar"/>
              </w:rPr>
              <w:t>4</w:t>
            </w:r>
            <w:r>
              <w:rPr>
                <w:rStyle w:val="212"/>
                <w:lang w:val="en-US" w:eastAsia="zh-CN" w:bidi="ar"/>
              </w:rPr>
              <w:t>名进入第二轮报价</w:t>
            </w:r>
          </w:p>
        </w:tc>
      </w:tr>
    </w:tbl>
    <w:p>
      <w:pPr>
        <w:adjustRightInd w:val="0"/>
        <w:snapToGrid w:val="0"/>
        <w:spacing w:line="360" w:lineRule="auto"/>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评审结果按综合得分由高到低排序。</w:t>
      </w:r>
    </w:p>
    <w:p>
      <w:pPr>
        <w:adjustRightInd w:val="0"/>
        <w:snapToGrid w:val="0"/>
        <w:spacing w:line="360" w:lineRule="auto"/>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首轮评分按价格分由高到低排序；价格分相同的则视为并列共同进入第二轮商务评审；价格分、商务分均相同的，由评标委员会全体成员记名投票（不得弃权），按少数服从多数的原则决定排序。</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二、重新开展招标活动，投标人只有2个的，转为竞争性磋商。评审办法同上。根据综合得分，推荐排名第1位的应答人为成交候选人，经采购人决策，确定一名成交供应商。</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三、重新开展招标活动，投标人只有1个的，转为单一来源采购。成交原则如下：</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应答人的企业资格符合第三章资格要求，且产品质量和服务能够满足招标人的采购需求，报价合理的情况下，将被推荐为成交候选人，经采购人决策，确定一名成交供应商。</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四、拟中标人放弃中标资格、因不可抗力不能履行合同、或者被查实存在影响中标结果的违法行为等情形，不符合中标条件的，招标人可以按照评标委员会提出的中标候选人名单排序依次确定其他中标候选人为中标人，也可以重新采购或者终止采购。</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五、如所有中标候选人均放弃中标资格、因不可抗力不能履行合同、或者被查实存在影响中标结果的违法行为等情形，不符合中标条件的，其他投标人按评标委员会评审的得分排名顺序，自动替补为中标候选人，由招标人重新公示、决策后使用。</w:t>
      </w:r>
    </w:p>
    <w:p>
      <w:pPr>
        <w:adjustRightInd w:val="0"/>
        <w:snapToGrid w:val="0"/>
        <w:spacing w:line="440" w:lineRule="exact"/>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六、中标供应商无正当理由弃标的，将被列入黑名单，3-5年内禁止参加所有</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本公司</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项目。</w:t>
      </w:r>
    </w:p>
    <w:p>
      <w:pPr>
        <w:pStyle w:val="3"/>
        <w:numPr>
          <w:ilvl w:val="0"/>
          <w:numId w:val="8"/>
        </w:numPr>
        <w:ind w:left="5" w:hanging="5"/>
        <w:rPr>
          <w:rFonts w:hint="eastAsia" w:asciiTheme="minorEastAsia" w:hAnsiTheme="minorEastAsia" w:eastAsiaTheme="minorEastAsia" w:cstheme="minorEastAsia"/>
          <w:color w:val="000000" w:themeColor="text1"/>
          <w:szCs w:val="22"/>
          <w14:textFill>
            <w14:solidFill>
              <w14:schemeClr w14:val="tx1"/>
            </w14:solidFill>
          </w14:textFill>
        </w:rPr>
      </w:pPr>
      <w:bookmarkStart w:id="88" w:name="_Toc21764"/>
      <w:bookmarkStart w:id="89" w:name="_Toc488002622"/>
      <w:bookmarkStart w:id="90" w:name="_Toc31743"/>
      <w:bookmarkStart w:id="91" w:name="_Toc2560"/>
      <w:r>
        <w:rPr>
          <w:rFonts w:hint="eastAsia" w:asciiTheme="minorEastAsia" w:hAnsiTheme="minorEastAsia" w:eastAsiaTheme="minorEastAsia" w:cstheme="minorEastAsia"/>
          <w:color w:val="000000" w:themeColor="text1"/>
          <w:szCs w:val="22"/>
          <w14:textFill>
            <w14:solidFill>
              <w14:schemeClr w14:val="tx1"/>
            </w14:solidFill>
          </w14:textFill>
        </w:rPr>
        <w:t>评标程序</w:t>
      </w:r>
      <w:bookmarkEnd w:id="88"/>
      <w:bookmarkEnd w:id="89"/>
      <w:bookmarkEnd w:id="90"/>
      <w:bookmarkEnd w:id="91"/>
    </w:p>
    <w:p>
      <w:pPr>
        <w:pStyle w:val="6"/>
        <w:ind w:firstLine="0" w:firstLineChars="0"/>
        <w:rPr>
          <w:rFonts w:hint="eastAsia" w:asciiTheme="minorEastAsia" w:hAnsiTheme="minorEastAsia" w:eastAsiaTheme="minorEastAsia" w:cstheme="minorEastAsia"/>
          <w:color w:val="000000" w:themeColor="text1"/>
          <w:szCs w:val="22"/>
          <w14:textFill>
            <w14:solidFill>
              <w14:schemeClr w14:val="tx1"/>
            </w14:solidFill>
          </w14:textFill>
        </w:rPr>
      </w:pPr>
      <w:bookmarkStart w:id="92" w:name="_Toc27585"/>
      <w:bookmarkStart w:id="93" w:name="_Toc25818"/>
      <w:bookmarkStart w:id="94" w:name="_Toc488002623"/>
      <w:bookmarkStart w:id="95" w:name="_Toc6626"/>
      <w:r>
        <w:rPr>
          <w:rFonts w:hint="eastAsia" w:asciiTheme="minorEastAsia" w:hAnsiTheme="minorEastAsia" w:eastAsiaTheme="minorEastAsia" w:cstheme="minorEastAsia"/>
          <w:color w:val="000000" w:themeColor="text1"/>
          <w:szCs w:val="22"/>
          <w14:textFill>
            <w14:solidFill>
              <w14:schemeClr w14:val="tx1"/>
            </w14:solidFill>
          </w14:textFill>
        </w:rPr>
        <w:t>3.1 初步评审</w:t>
      </w:r>
      <w:bookmarkEnd w:id="92"/>
      <w:bookmarkEnd w:id="93"/>
      <w:bookmarkEnd w:id="94"/>
      <w:bookmarkEnd w:id="95"/>
    </w:p>
    <w:p>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3.1.1评标委员会根据本章第2.1款规定的标准对投标文件进行初步评审。有一项不符合评审标准的，评标委员会应当否决其投标。</w:t>
      </w:r>
    </w:p>
    <w:p>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3.1.2投标人有以下情形之一的，评标委员会应当否决其投标：</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（1）第二章“投标人须知”第1.8款规定的任何一种情形的；</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（2）不按照评标委员会要求澄清、说明或者补正的；</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（3）投标文件未按招标文件要求盖章和签字的；</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（4）同一投标人递交两个以上不同的投标文件或者投标报价，但招标文件要求递交备选投标的除外；</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（5）投标报价低于成本或者高于招标文件设定的最高投标限价；</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（6）投标文件没有对招标文件的实质性要求和条件做出响应；</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（7）投标人有串通投标、弄虚作假、行贿等违法行为；</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（8）投标文件载明的招标项目完成期限超过招标文件规定的期限；</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（9）投标文件附有招标人不能接受的条件；</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（10）未按规定时间递交电子版投标文件或纸质版投标文件的；</w:t>
      </w:r>
    </w:p>
    <w:p>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（11）不符合招标文件中规定的其他实质性要求；</w:t>
      </w:r>
    </w:p>
    <w:p>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3.1.3评标过程中，评标委员会收到低于成本价投标的书面质疑材料、发现投标人的综合报价明显低于其他投标报价或者设有标底时明显低于标底，认为投标报价可能低于其个别成本的，应当书面要求该投标人做出书面说明并提供相关证明材料。投标人不能合理说明或者不能提供相应证明材料的，由评标委员会认定该投标人以低于成本报价竞标，评标委员会应当否决其投标。</w:t>
      </w:r>
    </w:p>
    <w:p>
      <w:pPr>
        <w:pStyle w:val="6"/>
        <w:ind w:firstLine="0" w:firstLineChars="0"/>
        <w:rPr>
          <w:rFonts w:hint="eastAsia" w:asciiTheme="minorEastAsia" w:hAnsiTheme="minorEastAsia" w:eastAsiaTheme="minorEastAsia" w:cstheme="minorEastAsia"/>
          <w:color w:val="000000" w:themeColor="text1"/>
          <w:szCs w:val="22"/>
          <w14:textFill>
            <w14:solidFill>
              <w14:schemeClr w14:val="tx1"/>
            </w14:solidFill>
          </w14:textFill>
        </w:rPr>
      </w:pPr>
      <w:bookmarkStart w:id="96" w:name="_Toc7996"/>
      <w:bookmarkStart w:id="97" w:name="_Toc488002624"/>
      <w:bookmarkStart w:id="98" w:name="_Toc7304"/>
      <w:bookmarkStart w:id="99" w:name="_Toc26987"/>
      <w:r>
        <w:rPr>
          <w:rFonts w:hint="eastAsia" w:asciiTheme="minorEastAsia" w:hAnsiTheme="minorEastAsia" w:eastAsiaTheme="minorEastAsia" w:cstheme="minorEastAsia"/>
          <w:color w:val="000000" w:themeColor="text1"/>
          <w:szCs w:val="22"/>
          <w14:textFill>
            <w14:solidFill>
              <w14:schemeClr w14:val="tx1"/>
            </w14:solidFill>
          </w14:textFill>
        </w:rPr>
        <w:t>3.2 详细评审</w:t>
      </w:r>
      <w:bookmarkEnd w:id="96"/>
      <w:bookmarkEnd w:id="97"/>
      <w:bookmarkEnd w:id="98"/>
      <w:bookmarkEnd w:id="99"/>
    </w:p>
    <w:p>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3.2.1评标委员会按照本章第2.2款规定的评审因素和量化标准进行评分，并计算出综合评分得分。</w:t>
      </w:r>
    </w:p>
    <w:p>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3.2.2评分分值计算原则上保留小数点后两位，小数点后第三位“四舍五入”。另有规定的，见评标办法前附表。</w:t>
      </w:r>
    </w:p>
    <w:p>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3.2.3价格评审原则上以含税价作为评审价</w:t>
      </w:r>
    </w:p>
    <w:p>
      <w:pPr>
        <w:pStyle w:val="6"/>
        <w:ind w:firstLine="0" w:firstLineChars="0"/>
        <w:rPr>
          <w:rFonts w:hint="eastAsia" w:asciiTheme="minorEastAsia" w:hAnsiTheme="minorEastAsia" w:eastAsiaTheme="minorEastAsia" w:cstheme="minorEastAsia"/>
          <w:color w:val="000000" w:themeColor="text1"/>
          <w:szCs w:val="22"/>
          <w14:textFill>
            <w14:solidFill>
              <w14:schemeClr w14:val="tx1"/>
            </w14:solidFill>
          </w14:textFill>
        </w:rPr>
      </w:pPr>
      <w:bookmarkStart w:id="100" w:name="_Toc5937"/>
      <w:bookmarkStart w:id="101" w:name="_Toc488002625"/>
      <w:bookmarkStart w:id="102" w:name="_Toc7160"/>
      <w:bookmarkStart w:id="103" w:name="_Toc23718"/>
      <w:r>
        <w:rPr>
          <w:rFonts w:hint="eastAsia" w:asciiTheme="minorEastAsia" w:hAnsiTheme="minorEastAsia" w:eastAsiaTheme="minorEastAsia" w:cstheme="minorEastAsia"/>
          <w:color w:val="000000" w:themeColor="text1"/>
          <w:szCs w:val="22"/>
          <w14:textFill>
            <w14:solidFill>
              <w14:schemeClr w14:val="tx1"/>
            </w14:solidFill>
          </w14:textFill>
        </w:rPr>
        <w:t>3.3 投标文件的澄清</w:t>
      </w:r>
      <w:bookmarkEnd w:id="100"/>
      <w:bookmarkEnd w:id="101"/>
      <w:bookmarkEnd w:id="102"/>
      <w:bookmarkEnd w:id="103"/>
    </w:p>
    <w:p>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3.3.1在评标过程中，评标委员会应当以书面形式要求投标人对所递交的投标文件中不明确的内容进行书面澄清、说明或者对投标文件中的细微偏差进行补正。评标委员会不接受投标人主动提出的澄清、说明或者补正。</w:t>
      </w:r>
    </w:p>
    <w:p>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3.3.2细微偏差是指投标文件在实质上响应招标文件要求，但个别地方存在漏项或者提供了不完整的技术信息和数据等情况，并且补正这些遗漏或者不完整不会对其他投标人造成不公平的结果。细微偏差不影响投标文件的有效性。</w:t>
      </w:r>
    </w:p>
    <w:p>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3.3.3澄清、说明和补正不得改变投标文件的实质性内容（算术性错误修正的除外）。投标人的书面澄清、说明和补正属于投标文件的组成部分。</w:t>
      </w:r>
    </w:p>
    <w:p>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3.3.4评标委员会对投标人递交的澄清、说明或者补正有疑问的，可以要求投标人进一步澄清、说明或者补正，直至满足评标委员会的要求。</w:t>
      </w:r>
    </w:p>
    <w:p>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3.3.5评标委员会必要时可以要求投标人递交有关证明和证件的原件，以便核验。</w:t>
      </w:r>
    </w:p>
    <w:p>
      <w:pPr>
        <w:pStyle w:val="67"/>
        <w:spacing w:before="0" w:after="0"/>
        <w:jc w:val="both"/>
        <w:rPr>
          <w:rFonts w:hint="eastAsia" w:asciiTheme="minorEastAsia" w:hAnsiTheme="minorEastAsia" w:eastAsiaTheme="minorEastAsia" w:cstheme="minorEastAsia"/>
          <w:b/>
          <w:color w:val="000000" w:themeColor="text1"/>
          <w:kern w:val="0"/>
          <w:sz w:val="32"/>
          <w14:textFill>
            <w14:solidFill>
              <w14:schemeClr w14:val="tx1"/>
            </w14:solidFill>
          </w14:textFill>
        </w:rPr>
      </w:pPr>
      <w:r>
        <w:rPr>
          <w:rFonts w:hint="eastAsia" w:asciiTheme="minorEastAsia" w:hAnsiTheme="minorEastAsia" w:eastAsiaTheme="minorEastAsia" w:cstheme="minorEastAsia"/>
          <w:color w:val="000000" w:themeColor="text1"/>
          <w:sz w:val="28"/>
          <w:u w:val="single"/>
          <w14:textFill>
            <w14:solidFill>
              <w14:schemeClr w14:val="tx1"/>
            </w14:solidFill>
          </w14:textFill>
        </w:rPr>
        <w:br w:type="page"/>
      </w:r>
      <w:bookmarkEnd w:id="66"/>
      <w:bookmarkEnd w:id="67"/>
      <w:bookmarkEnd w:id="68"/>
      <w:bookmarkEnd w:id="69"/>
      <w:bookmarkStart w:id="104" w:name="_Toc16876"/>
      <w:r>
        <w:rPr>
          <w:rFonts w:hint="eastAsia" w:asciiTheme="minorEastAsia" w:hAnsiTheme="minorEastAsia" w:eastAsiaTheme="minorEastAsia" w:cstheme="minorEastAsia"/>
          <w:b/>
          <w:color w:val="000000" w:themeColor="text1"/>
          <w:sz w:val="28"/>
          <w:szCs w:val="22"/>
          <w14:textFill>
            <w14:solidFill>
              <w14:schemeClr w14:val="tx1"/>
            </w14:solidFill>
          </w14:textFill>
        </w:rPr>
        <w:t>附件明细：</w:t>
      </w:r>
      <w:bookmarkEnd w:id="104"/>
      <w:r>
        <w:rPr>
          <w:rFonts w:hint="eastAsia" w:asciiTheme="minorEastAsia" w:hAnsiTheme="minorEastAsia" w:eastAsiaTheme="minorEastAsia" w:cstheme="minorEastAsia"/>
          <w:b/>
          <w:color w:val="000000" w:themeColor="text1"/>
          <w:sz w:val="28"/>
          <w:szCs w:val="22"/>
          <w14:textFill>
            <w14:solidFill>
              <w14:schemeClr w14:val="tx1"/>
            </w14:solidFill>
          </w14:textFill>
        </w:rPr>
        <w:tab/>
      </w:r>
    </w:p>
    <w:p>
      <w:pPr>
        <w:spacing w:line="360" w:lineRule="auto"/>
        <w:jc w:val="left"/>
        <w:rPr>
          <w:rFonts w:hint="default" w:asciiTheme="minorEastAsia" w:hAnsiTheme="minorEastAsia" w:eastAsia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附件</w:t>
      </w:r>
      <w:r>
        <w:rPr>
          <w:rFonts w:hint="eastAsia" w:asciiTheme="minorEastAsia" w:hAnsiTheme="minorEastAsia" w:eastAsiaTheme="minorEastAsia" w:cstheme="minorEastAsia"/>
          <w:color w:val="000000" w:themeColor="text1"/>
          <w:szCs w:val="21"/>
          <w:lang w:eastAsia="zh-CN"/>
          <w14:textFill>
            <w14:solidFill>
              <w14:schemeClr w14:val="tx1"/>
            </w14:solidFill>
          </w14:textFill>
        </w:rPr>
        <w:t>一</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szCs w:val="21"/>
          <w:lang w:eastAsia="zh-CN"/>
          <w14:textFill>
            <w14:solidFill>
              <w14:schemeClr w14:val="tx1"/>
            </w14:solidFill>
          </w14:textFill>
        </w:rPr>
        <w:t>询价线路</w:t>
      </w:r>
      <w:r>
        <w:rPr>
          <w:rFonts w:hint="eastAsia" w:asciiTheme="minorEastAsia" w:hAnsiTheme="minorEastAsia" w:eastAsiaTheme="minorEastAsia" w:cstheme="minorEastAsia"/>
          <w:color w:val="000000" w:themeColor="text1"/>
          <w:szCs w:val="21"/>
          <w14:textFill>
            <w14:solidFill>
              <w14:schemeClr w14:val="tx1"/>
            </w14:solidFill>
          </w14:textFill>
        </w:rPr>
        <w:t>表（附注：本表详见另行附上的Excel文件）</w:t>
      </w:r>
    </w:p>
    <w:p>
      <w:pPr>
        <w:spacing w:line="360" w:lineRule="auto"/>
        <w:jc w:val="left"/>
        <w:rPr>
          <w:rFonts w:hint="eastAsia" w:asciiTheme="minorEastAsia" w:hAnsiTheme="minorEastAsia" w:eastAsiaTheme="minorEastAsia" w:cstheme="minorEastAsia"/>
          <w:color w:val="000000" w:themeColor="text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附件</w:t>
      </w:r>
      <w:r>
        <w:rPr>
          <w:rFonts w:hint="eastAsia" w:asciiTheme="minorEastAsia" w:hAnsiTheme="minorEastAsia" w:eastAsiaTheme="minorEastAsia" w:cstheme="minorEastAsia"/>
          <w:color w:val="000000" w:themeColor="text1"/>
          <w:szCs w:val="21"/>
          <w:lang w:eastAsia="zh-CN"/>
          <w14:textFill>
            <w14:solidFill>
              <w14:schemeClr w14:val="tx1"/>
            </w14:solidFill>
          </w14:textFill>
        </w:rPr>
        <w:t>二</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szCs w:val="21"/>
          <w:lang w:eastAsia="zh-CN"/>
          <w14:textFill>
            <w14:solidFill>
              <w14:schemeClr w14:val="tx1"/>
            </w14:solidFill>
          </w14:textFill>
        </w:rPr>
        <w:t>运输公司管理办法</w:t>
      </w:r>
    </w:p>
    <w:p>
      <w:pPr>
        <w:spacing w:line="360" w:lineRule="auto"/>
        <w:jc w:val="left"/>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lang w:eastAsia="zh-CN"/>
          <w14:textFill>
            <w14:solidFill>
              <w14:schemeClr w14:val="tx1"/>
            </w14:solidFill>
          </w14:textFill>
        </w:rPr>
        <w:t>附件</w:t>
      </w: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三：供应商月度考核表</w:t>
      </w:r>
    </w:p>
    <w:p>
      <w:pPr>
        <w:spacing w:line="360" w:lineRule="auto"/>
        <w:jc w:val="left"/>
        <w:rPr>
          <w:rFonts w:hint="default" w:asciiTheme="minorEastAsia" w:hAnsiTheme="minorEastAsia" w:eastAsia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附件四：投标文件明细</w:t>
      </w:r>
    </w:p>
    <w:p>
      <w:pPr>
        <w:spacing w:line="276" w:lineRule="auto"/>
        <w:rPr>
          <w:rFonts w:hint="eastAsia" w:ascii="宋体" w:hAnsi="宋体" w:cs="宋体"/>
          <w:b/>
          <w:bCs/>
          <w:lang w:eastAsia="zh-CN"/>
        </w:rPr>
      </w:pPr>
      <w:r>
        <w:rPr>
          <w:rFonts w:hint="eastAsia" w:ascii="宋体" w:hAnsi="宋体" w:cs="宋体"/>
          <w:b/>
          <w:bCs/>
        </w:rPr>
        <w:t>附件</w:t>
      </w:r>
      <w:r>
        <w:rPr>
          <w:rFonts w:hint="eastAsia" w:ascii="宋体" w:hAnsi="宋体" w:cs="宋体"/>
          <w:b/>
          <w:bCs/>
          <w:lang w:eastAsia="zh-CN"/>
        </w:rPr>
        <w:t>二、</w:t>
      </w:r>
    </w:p>
    <w:tbl>
      <w:tblPr>
        <w:tblStyle w:val="46"/>
        <w:tblW w:w="10259" w:type="dxa"/>
        <w:tblInd w:w="-631" w:type="dxa"/>
        <w:tblLayout w:type="fixed"/>
        <w:tblCellMar>
          <w:top w:w="0" w:type="dxa"/>
          <w:left w:w="108" w:type="dxa"/>
          <w:bottom w:w="0" w:type="dxa"/>
          <w:right w:w="108" w:type="dxa"/>
        </w:tblCellMar>
      </w:tblPr>
      <w:tblGrid>
        <w:gridCol w:w="450"/>
        <w:gridCol w:w="610"/>
        <w:gridCol w:w="431"/>
        <w:gridCol w:w="260"/>
        <w:gridCol w:w="922"/>
        <w:gridCol w:w="1035"/>
        <w:gridCol w:w="1451"/>
        <w:gridCol w:w="1098"/>
        <w:gridCol w:w="1275"/>
        <w:gridCol w:w="275"/>
        <w:gridCol w:w="1176"/>
        <w:gridCol w:w="1276"/>
      </w:tblGrid>
      <w:tr>
        <w:tblPrEx>
          <w:tblCellMar>
            <w:top w:w="0" w:type="dxa"/>
            <w:left w:w="108" w:type="dxa"/>
            <w:bottom w:w="0" w:type="dxa"/>
            <w:right w:w="108" w:type="dxa"/>
          </w:tblCellMar>
        </w:tblPrEx>
        <w:trPr>
          <w:trHeight w:val="647" w:hRule="atLeast"/>
        </w:trPr>
        <w:tc>
          <w:tcPr>
            <w:tcW w:w="10259" w:type="dxa"/>
            <w:gridSpan w:val="12"/>
            <w:tcBorders>
              <w:top w:val="single" w:color="auto" w:sz="8" w:space="0"/>
              <w:left w:val="single" w:color="auto" w:sz="8" w:space="0"/>
              <w:bottom w:val="single" w:color="auto" w:sz="8" w:space="0"/>
              <w:right w:val="single" w:color="000000" w:sz="8" w:space="0"/>
            </w:tcBorders>
            <w:vAlign w:val="center"/>
          </w:tcPr>
          <w:p>
            <w:pPr>
              <w:widowControl/>
              <w:jc w:val="center"/>
              <w:rPr>
                <w:rFonts w:ascii="宋体" w:hAnsi="宋体" w:cs="宋体"/>
                <w:kern w:val="0"/>
                <w:sz w:val="24"/>
              </w:rPr>
            </w:pPr>
            <w:r>
              <w:rPr>
                <w:rFonts w:hint="eastAsia" w:ascii="宋体" w:hAnsi="宋体" w:cs="宋体"/>
                <w:kern w:val="0"/>
                <w:sz w:val="24"/>
              </w:rPr>
              <w:t>运输公司作业管理办法</w:t>
            </w:r>
          </w:p>
        </w:tc>
      </w:tr>
      <w:tr>
        <w:tblPrEx>
          <w:tblCellMar>
            <w:top w:w="0" w:type="dxa"/>
            <w:left w:w="108" w:type="dxa"/>
            <w:bottom w:w="0" w:type="dxa"/>
            <w:right w:w="108" w:type="dxa"/>
          </w:tblCellMar>
        </w:tblPrEx>
        <w:trPr>
          <w:trHeight w:val="647" w:hRule="atLeast"/>
        </w:trPr>
        <w:tc>
          <w:tcPr>
            <w:tcW w:w="450" w:type="dxa"/>
            <w:tcBorders>
              <w:top w:val="nil"/>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分类</w:t>
            </w:r>
          </w:p>
        </w:tc>
        <w:tc>
          <w:tcPr>
            <w:tcW w:w="610"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序号</w:t>
            </w:r>
          </w:p>
        </w:tc>
        <w:tc>
          <w:tcPr>
            <w:tcW w:w="6747" w:type="dxa"/>
            <w:gridSpan w:val="8"/>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违规内容</w:t>
            </w:r>
          </w:p>
        </w:tc>
        <w:tc>
          <w:tcPr>
            <w:tcW w:w="2452" w:type="dxa"/>
            <w:gridSpan w:val="2"/>
            <w:tcBorders>
              <w:top w:val="nil"/>
              <w:left w:val="nil"/>
              <w:bottom w:val="single" w:color="auto"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扣款金额（单位/元）</w:t>
            </w:r>
          </w:p>
        </w:tc>
      </w:tr>
      <w:tr>
        <w:tblPrEx>
          <w:tblCellMar>
            <w:top w:w="0" w:type="dxa"/>
            <w:left w:w="108" w:type="dxa"/>
            <w:bottom w:w="0" w:type="dxa"/>
            <w:right w:w="108" w:type="dxa"/>
          </w:tblCellMar>
        </w:tblPrEx>
        <w:trPr>
          <w:trHeight w:val="695" w:hRule="atLeast"/>
        </w:trPr>
        <w:tc>
          <w:tcPr>
            <w:tcW w:w="450" w:type="dxa"/>
            <w:vMerge w:val="restart"/>
            <w:tcBorders>
              <w:top w:val="nil"/>
              <w:left w:val="single" w:color="auto" w:sz="8" w:space="0"/>
              <w:bottom w:val="single" w:color="auto" w:sz="4" w:space="0"/>
              <w:right w:val="single" w:color="auto" w:sz="4" w:space="0"/>
            </w:tcBorders>
            <w:shd w:val="clear" w:color="auto" w:fill="99CCFF"/>
            <w:vAlign w:val="center"/>
          </w:tcPr>
          <w:p>
            <w:pPr>
              <w:widowControl/>
              <w:jc w:val="center"/>
              <w:rPr>
                <w:rFonts w:ascii="宋体" w:hAnsi="宋体" w:cs="宋体"/>
                <w:kern w:val="0"/>
                <w:sz w:val="24"/>
              </w:rPr>
            </w:pPr>
            <w:r>
              <w:rPr>
                <w:rFonts w:hint="eastAsia" w:ascii="宋体" w:hAnsi="宋体" w:cs="宋体"/>
                <w:kern w:val="0"/>
                <w:sz w:val="24"/>
              </w:rPr>
              <w:t>单据资料类违规</w:t>
            </w: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未在规定时间内缴回</w:t>
            </w:r>
            <w:r>
              <w:rPr>
                <w:rFonts w:hint="eastAsia" w:ascii="宋体" w:hAnsi="宋体" w:cs="宋体"/>
                <w:kern w:val="0"/>
                <w:sz w:val="20"/>
                <w:szCs w:val="20"/>
                <w:lang w:eastAsia="zh-CN"/>
              </w:rPr>
              <w:t>派车凭证</w:t>
            </w:r>
            <w:r>
              <w:rPr>
                <w:rFonts w:hint="eastAsia" w:ascii="宋体" w:hAnsi="宋体" w:cs="宋体"/>
                <w:kern w:val="0"/>
                <w:sz w:val="20"/>
                <w:szCs w:val="20"/>
              </w:rPr>
              <w:t>单程400km以内</w:t>
            </w:r>
            <w:r>
              <w:rPr>
                <w:rFonts w:hint="eastAsia" w:ascii="宋体" w:hAnsi="宋体" w:cs="宋体"/>
                <w:kern w:val="0"/>
                <w:sz w:val="20"/>
                <w:szCs w:val="20"/>
                <w:lang w:eastAsia="zh-CN"/>
              </w:rPr>
              <w:t>线路</w:t>
            </w:r>
            <w:r>
              <w:rPr>
                <w:rFonts w:hint="eastAsia" w:ascii="宋体" w:hAnsi="宋体" w:cs="宋体"/>
                <w:kern w:val="0"/>
                <w:sz w:val="20"/>
                <w:szCs w:val="20"/>
              </w:rPr>
              <w:t>2天内缴回，单程401km-700km之间</w:t>
            </w:r>
            <w:r>
              <w:rPr>
                <w:rFonts w:hint="eastAsia" w:ascii="宋体" w:hAnsi="宋体" w:cs="宋体"/>
                <w:kern w:val="0"/>
                <w:sz w:val="20"/>
                <w:szCs w:val="20"/>
                <w:lang w:eastAsia="zh-CN"/>
              </w:rPr>
              <w:t>线路</w:t>
            </w:r>
            <w:r>
              <w:rPr>
                <w:rFonts w:hint="eastAsia" w:ascii="宋体" w:hAnsi="宋体" w:cs="宋体"/>
                <w:kern w:val="0"/>
                <w:sz w:val="20"/>
                <w:szCs w:val="20"/>
              </w:rPr>
              <w:t>3天内缴回，单程701km以上</w:t>
            </w:r>
            <w:r>
              <w:rPr>
                <w:rFonts w:hint="eastAsia" w:ascii="宋体" w:hAnsi="宋体" w:cs="宋体"/>
                <w:kern w:val="0"/>
                <w:sz w:val="20"/>
                <w:szCs w:val="20"/>
                <w:lang w:eastAsia="zh-CN"/>
              </w:rPr>
              <w:t>线路</w:t>
            </w:r>
            <w:r>
              <w:rPr>
                <w:rFonts w:hint="eastAsia" w:ascii="宋体" w:hAnsi="宋体" w:cs="宋体"/>
                <w:kern w:val="0"/>
                <w:sz w:val="20"/>
                <w:szCs w:val="20"/>
              </w:rPr>
              <w:t>4天内</w:t>
            </w:r>
            <w:r>
              <w:rPr>
                <w:rFonts w:hint="eastAsia" w:ascii="宋体" w:hAnsi="宋体" w:cs="宋体"/>
                <w:color w:val="FF0000"/>
                <w:kern w:val="0"/>
                <w:sz w:val="20"/>
                <w:szCs w:val="20"/>
              </w:rPr>
              <w:t>可用拍照形式拍回报备运务课做登记证明，7天内原件必须缴回；</w:t>
            </w:r>
            <w:r>
              <w:rPr>
                <w:rFonts w:hint="eastAsia" w:ascii="宋体" w:hAnsi="宋体" w:cs="宋体"/>
                <w:kern w:val="0"/>
                <w:sz w:val="20"/>
                <w:szCs w:val="20"/>
              </w:rPr>
              <w:t>若未缴回，累计扣款</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每日200元</w:t>
            </w:r>
          </w:p>
        </w:tc>
      </w:tr>
      <w:tr>
        <w:tblPrEx>
          <w:tblCellMar>
            <w:top w:w="0" w:type="dxa"/>
            <w:left w:w="108" w:type="dxa"/>
            <w:bottom w:w="0" w:type="dxa"/>
            <w:right w:w="108" w:type="dxa"/>
          </w:tblCellMar>
        </w:tblPrEx>
        <w:trPr>
          <w:trHeight w:val="756" w:hRule="atLeast"/>
        </w:trPr>
        <w:tc>
          <w:tcPr>
            <w:tcW w:w="450" w:type="dxa"/>
            <w:vMerge w:val="continue"/>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派车凭证</w:t>
            </w:r>
            <w:r>
              <w:rPr>
                <w:rFonts w:hint="eastAsia" w:ascii="宋体" w:hAnsi="宋体" w:cs="宋体"/>
                <w:kern w:val="0"/>
                <w:sz w:val="20"/>
                <w:szCs w:val="20"/>
              </w:rPr>
              <w:t>原件丢失，需运输公司开具相关证明并加盖公章，除罚款外（每张单据各罚款500元），外车需缴交由于丢失所产生之作业成本100元，</w:t>
            </w:r>
            <w:r>
              <w:rPr>
                <w:rFonts w:hint="eastAsia" w:ascii="宋体" w:hAnsi="宋体" w:cs="宋体"/>
                <w:kern w:val="0"/>
                <w:sz w:val="20"/>
                <w:szCs w:val="20"/>
                <w:lang w:eastAsia="zh-CN"/>
              </w:rPr>
              <w:t>派车凭证</w:t>
            </w:r>
            <w:r>
              <w:rPr>
                <w:rFonts w:hint="eastAsia" w:ascii="宋体" w:hAnsi="宋体" w:cs="宋体"/>
                <w:kern w:val="0"/>
                <w:sz w:val="20"/>
                <w:szCs w:val="20"/>
              </w:rPr>
              <w:t>丢失将不予以结账，如后期运输公司找回原件，予以结账，但罚款单据不予撤回）</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500元</w:t>
            </w:r>
          </w:p>
        </w:tc>
      </w:tr>
      <w:tr>
        <w:tblPrEx>
          <w:tblCellMar>
            <w:top w:w="0" w:type="dxa"/>
            <w:left w:w="108" w:type="dxa"/>
            <w:bottom w:w="0" w:type="dxa"/>
            <w:right w:w="108" w:type="dxa"/>
          </w:tblCellMar>
        </w:tblPrEx>
        <w:trPr>
          <w:trHeight w:val="647" w:hRule="atLeast"/>
        </w:trPr>
        <w:tc>
          <w:tcPr>
            <w:tcW w:w="450" w:type="dxa"/>
            <w:vMerge w:val="continue"/>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3</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运输公司任何联系资讯更改未及时向</w:t>
            </w:r>
            <w:r>
              <w:rPr>
                <w:rFonts w:hint="eastAsia" w:ascii="宋体" w:hAnsi="宋体" w:cs="宋体"/>
                <w:kern w:val="0"/>
                <w:sz w:val="20"/>
                <w:szCs w:val="20"/>
                <w:lang w:eastAsia="zh-CN"/>
              </w:rPr>
              <w:t>仓库</w:t>
            </w:r>
            <w:r>
              <w:rPr>
                <w:rFonts w:hint="eastAsia" w:ascii="宋体" w:hAnsi="宋体" w:cs="宋体"/>
                <w:kern w:val="0"/>
                <w:sz w:val="20"/>
                <w:szCs w:val="20"/>
              </w:rPr>
              <w:t>更新（如驾驶员，调度电话更改等）</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500元</w:t>
            </w:r>
          </w:p>
        </w:tc>
      </w:tr>
      <w:tr>
        <w:tblPrEx>
          <w:tblCellMar>
            <w:top w:w="0" w:type="dxa"/>
            <w:left w:w="108" w:type="dxa"/>
            <w:bottom w:w="0" w:type="dxa"/>
            <w:right w:w="108" w:type="dxa"/>
          </w:tblCellMar>
        </w:tblPrEx>
        <w:trPr>
          <w:trHeight w:val="605" w:hRule="atLeast"/>
        </w:trPr>
        <w:tc>
          <w:tcPr>
            <w:tcW w:w="450" w:type="dxa"/>
            <w:vMerge w:val="restart"/>
            <w:tcBorders>
              <w:top w:val="nil"/>
              <w:left w:val="single" w:color="auto" w:sz="4" w:space="0"/>
              <w:bottom w:val="single" w:color="000000" w:sz="4" w:space="0"/>
              <w:right w:val="single" w:color="auto" w:sz="4" w:space="0"/>
            </w:tcBorders>
            <w:shd w:val="clear" w:color="auto" w:fill="33CCCC"/>
            <w:vAlign w:val="center"/>
          </w:tcPr>
          <w:p>
            <w:pPr>
              <w:widowControl/>
              <w:jc w:val="center"/>
              <w:rPr>
                <w:rFonts w:ascii="宋体" w:hAnsi="宋体" w:cs="宋体"/>
                <w:kern w:val="0"/>
                <w:sz w:val="24"/>
              </w:rPr>
            </w:pPr>
            <w:r>
              <w:rPr>
                <w:rFonts w:hint="eastAsia" w:ascii="宋体" w:hAnsi="宋体" w:cs="宋体"/>
                <w:kern w:val="0"/>
                <w:sz w:val="24"/>
              </w:rPr>
              <w:t>安全事项类违规</w:t>
            </w: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4</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运输公司人员在仓库区域内吸烟、喝酒、聚众赌博、打架斗殴等恶意行为</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10000元（日后并禁止滋事人员入仓，列入黑名单）</w:t>
            </w:r>
          </w:p>
        </w:tc>
      </w:tr>
      <w:tr>
        <w:tblPrEx>
          <w:tblCellMar>
            <w:top w:w="0" w:type="dxa"/>
            <w:left w:w="108" w:type="dxa"/>
            <w:bottom w:w="0" w:type="dxa"/>
            <w:right w:w="108" w:type="dxa"/>
          </w:tblCellMar>
        </w:tblPrEx>
        <w:trPr>
          <w:trHeight w:val="605" w:hRule="atLeast"/>
        </w:trPr>
        <w:tc>
          <w:tcPr>
            <w:tcW w:w="45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5</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运输公司车辆堵塞消防通道、</w:t>
            </w:r>
            <w:r>
              <w:rPr>
                <w:rFonts w:hint="eastAsia" w:ascii="宋体" w:hAnsi="宋体" w:cs="宋体"/>
                <w:kern w:val="0"/>
                <w:sz w:val="20"/>
                <w:szCs w:val="20"/>
                <w:lang w:eastAsia="zh-CN"/>
              </w:rPr>
              <w:t>仓库</w:t>
            </w:r>
            <w:r>
              <w:rPr>
                <w:rFonts w:hint="eastAsia" w:ascii="宋体" w:hAnsi="宋体" w:cs="宋体"/>
                <w:kern w:val="0"/>
                <w:sz w:val="20"/>
                <w:szCs w:val="20"/>
              </w:rPr>
              <w:t>大门、装车口、行车通道等以各种行为干预影响</w:t>
            </w:r>
            <w:r>
              <w:rPr>
                <w:rFonts w:hint="eastAsia" w:ascii="宋体" w:hAnsi="宋体" w:cs="宋体"/>
                <w:kern w:val="0"/>
                <w:sz w:val="20"/>
                <w:szCs w:val="20"/>
                <w:lang w:eastAsia="zh-CN"/>
              </w:rPr>
              <w:t>仓库</w:t>
            </w:r>
            <w:r>
              <w:rPr>
                <w:rFonts w:hint="eastAsia" w:ascii="宋体" w:hAnsi="宋体" w:cs="宋体"/>
                <w:kern w:val="0"/>
                <w:sz w:val="20"/>
                <w:szCs w:val="20"/>
              </w:rPr>
              <w:t>正常操作</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10000元（日后并禁止该车及驾驶员入仓装货，列入黑名单）</w:t>
            </w:r>
          </w:p>
        </w:tc>
      </w:tr>
      <w:tr>
        <w:tblPrEx>
          <w:tblCellMar>
            <w:top w:w="0" w:type="dxa"/>
            <w:left w:w="108" w:type="dxa"/>
            <w:bottom w:w="0" w:type="dxa"/>
            <w:right w:w="108" w:type="dxa"/>
          </w:tblCellMar>
        </w:tblPrEx>
        <w:trPr>
          <w:trHeight w:val="605" w:hRule="atLeast"/>
        </w:trPr>
        <w:tc>
          <w:tcPr>
            <w:tcW w:w="45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6</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于装车口运输公司驾驶员未收到</w:t>
            </w:r>
            <w:r>
              <w:rPr>
                <w:rFonts w:hint="eastAsia" w:ascii="宋体" w:hAnsi="宋体" w:cs="宋体"/>
                <w:kern w:val="0"/>
                <w:sz w:val="20"/>
                <w:szCs w:val="20"/>
                <w:lang w:eastAsia="zh-CN"/>
              </w:rPr>
              <w:t>仓库</w:t>
            </w:r>
            <w:r>
              <w:rPr>
                <w:rFonts w:hint="eastAsia" w:ascii="宋体" w:hAnsi="宋体" w:cs="宋体"/>
                <w:kern w:val="0"/>
                <w:sz w:val="20"/>
                <w:szCs w:val="20"/>
              </w:rPr>
              <w:t>指示擅自移动车辆</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5000元</w:t>
            </w:r>
          </w:p>
        </w:tc>
      </w:tr>
      <w:tr>
        <w:tblPrEx>
          <w:tblCellMar>
            <w:top w:w="0" w:type="dxa"/>
            <w:left w:w="108" w:type="dxa"/>
            <w:bottom w:w="0" w:type="dxa"/>
            <w:right w:w="108" w:type="dxa"/>
          </w:tblCellMar>
        </w:tblPrEx>
        <w:trPr>
          <w:trHeight w:val="605" w:hRule="atLeast"/>
        </w:trPr>
        <w:tc>
          <w:tcPr>
            <w:tcW w:w="45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7</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仓库区内点明火(不含吸烟区）</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10000元</w:t>
            </w:r>
          </w:p>
        </w:tc>
      </w:tr>
      <w:tr>
        <w:tblPrEx>
          <w:tblCellMar>
            <w:top w:w="0" w:type="dxa"/>
            <w:left w:w="108" w:type="dxa"/>
            <w:bottom w:w="0" w:type="dxa"/>
            <w:right w:w="108" w:type="dxa"/>
          </w:tblCellMar>
        </w:tblPrEx>
        <w:trPr>
          <w:trHeight w:val="605" w:hRule="atLeast"/>
        </w:trPr>
        <w:tc>
          <w:tcPr>
            <w:tcW w:w="45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8</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发生交通事故未及时通知</w:t>
            </w:r>
            <w:r>
              <w:rPr>
                <w:rFonts w:hint="eastAsia" w:ascii="宋体" w:hAnsi="宋体" w:cs="宋体"/>
                <w:kern w:val="0"/>
                <w:sz w:val="20"/>
                <w:szCs w:val="20"/>
                <w:lang w:eastAsia="zh-CN"/>
              </w:rPr>
              <w:t>仓库</w:t>
            </w:r>
            <w:r>
              <w:rPr>
                <w:rFonts w:hint="eastAsia" w:ascii="宋体" w:hAnsi="宋体" w:cs="宋体"/>
                <w:kern w:val="0"/>
                <w:sz w:val="20"/>
                <w:szCs w:val="20"/>
              </w:rPr>
              <w:t>或事故发生后未在8小时内提交交通事故报告</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2000元</w:t>
            </w:r>
          </w:p>
        </w:tc>
      </w:tr>
      <w:tr>
        <w:tblPrEx>
          <w:tblCellMar>
            <w:top w:w="0" w:type="dxa"/>
            <w:left w:w="108" w:type="dxa"/>
            <w:bottom w:w="0" w:type="dxa"/>
            <w:right w:w="108" w:type="dxa"/>
          </w:tblCellMar>
        </w:tblPrEx>
        <w:trPr>
          <w:trHeight w:val="605" w:hRule="atLeast"/>
        </w:trPr>
        <w:tc>
          <w:tcPr>
            <w:tcW w:w="45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9</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运输公司车辆在</w:t>
            </w:r>
            <w:r>
              <w:rPr>
                <w:rFonts w:hint="eastAsia" w:ascii="宋体" w:hAnsi="宋体" w:cs="宋体"/>
                <w:kern w:val="0"/>
                <w:sz w:val="20"/>
                <w:szCs w:val="20"/>
                <w:lang w:eastAsia="zh-CN"/>
              </w:rPr>
              <w:t>仓库</w:t>
            </w:r>
            <w:r>
              <w:rPr>
                <w:rFonts w:hint="eastAsia" w:ascii="宋体" w:hAnsi="宋体" w:cs="宋体"/>
                <w:kern w:val="0"/>
                <w:sz w:val="20"/>
                <w:szCs w:val="20"/>
              </w:rPr>
              <w:t>内行驶未礼让行人</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500元</w:t>
            </w:r>
          </w:p>
        </w:tc>
      </w:tr>
      <w:tr>
        <w:tblPrEx>
          <w:tblCellMar>
            <w:top w:w="0" w:type="dxa"/>
            <w:left w:w="108" w:type="dxa"/>
            <w:bottom w:w="0" w:type="dxa"/>
            <w:right w:w="108" w:type="dxa"/>
          </w:tblCellMar>
        </w:tblPrEx>
        <w:trPr>
          <w:trHeight w:val="605" w:hRule="atLeast"/>
        </w:trPr>
        <w:tc>
          <w:tcPr>
            <w:tcW w:w="45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10</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运输公司车辆在</w:t>
            </w:r>
            <w:r>
              <w:rPr>
                <w:rFonts w:hint="eastAsia" w:ascii="宋体" w:hAnsi="宋体" w:cs="宋体"/>
                <w:kern w:val="0"/>
                <w:sz w:val="20"/>
                <w:szCs w:val="20"/>
                <w:lang w:eastAsia="zh-CN"/>
              </w:rPr>
              <w:t>仓库</w:t>
            </w:r>
            <w:r>
              <w:rPr>
                <w:rFonts w:hint="eastAsia" w:ascii="宋体" w:hAnsi="宋体" w:cs="宋体"/>
                <w:kern w:val="0"/>
                <w:sz w:val="20"/>
                <w:szCs w:val="20"/>
              </w:rPr>
              <w:t>内不按</w:t>
            </w:r>
            <w:r>
              <w:rPr>
                <w:rFonts w:hint="eastAsia" w:ascii="宋体" w:hAnsi="宋体" w:cs="宋体"/>
                <w:kern w:val="0"/>
                <w:sz w:val="20"/>
                <w:szCs w:val="20"/>
                <w:lang w:eastAsia="zh-CN"/>
              </w:rPr>
              <w:t>仓库</w:t>
            </w:r>
            <w:r>
              <w:rPr>
                <w:rFonts w:hint="eastAsia" w:ascii="宋体" w:hAnsi="宋体" w:cs="宋体"/>
                <w:kern w:val="0"/>
                <w:sz w:val="20"/>
                <w:szCs w:val="20"/>
              </w:rPr>
              <w:t>规定行驶路线、方向行驶或超速（规定不超15Km)</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500元</w:t>
            </w:r>
          </w:p>
        </w:tc>
      </w:tr>
      <w:tr>
        <w:tblPrEx>
          <w:tblCellMar>
            <w:top w:w="0" w:type="dxa"/>
            <w:left w:w="108" w:type="dxa"/>
            <w:bottom w:w="0" w:type="dxa"/>
            <w:right w:w="108" w:type="dxa"/>
          </w:tblCellMar>
        </w:tblPrEx>
        <w:trPr>
          <w:trHeight w:val="605" w:hRule="atLeast"/>
        </w:trPr>
        <w:tc>
          <w:tcPr>
            <w:tcW w:w="45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11</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驾驶员未按照流程操作，比如：发动机未熄火、未装挡车器等</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1000元</w:t>
            </w:r>
          </w:p>
        </w:tc>
      </w:tr>
      <w:tr>
        <w:tblPrEx>
          <w:tblCellMar>
            <w:top w:w="0" w:type="dxa"/>
            <w:left w:w="108" w:type="dxa"/>
            <w:bottom w:w="0" w:type="dxa"/>
            <w:right w:w="108" w:type="dxa"/>
          </w:tblCellMar>
        </w:tblPrEx>
        <w:trPr>
          <w:trHeight w:val="605" w:hRule="atLeast"/>
        </w:trPr>
        <w:tc>
          <w:tcPr>
            <w:tcW w:w="450" w:type="dxa"/>
            <w:vMerge w:val="restart"/>
            <w:tcBorders>
              <w:top w:val="single" w:color="auto" w:sz="4" w:space="0"/>
              <w:left w:val="single" w:color="auto" w:sz="4" w:space="0"/>
              <w:right w:val="single" w:color="auto" w:sz="4" w:space="0"/>
            </w:tcBorders>
            <w:shd w:val="clear" w:color="auto" w:fill="33CCCC"/>
            <w:vAlign w:val="center"/>
          </w:tcPr>
          <w:p>
            <w:pPr>
              <w:widowControl/>
              <w:jc w:val="center"/>
              <w:rPr>
                <w:rFonts w:ascii="宋体" w:hAnsi="宋体" w:cs="宋体"/>
                <w:kern w:val="0"/>
                <w:sz w:val="24"/>
              </w:rPr>
            </w:pPr>
            <w:r>
              <w:rPr>
                <w:rFonts w:hint="eastAsia" w:ascii="宋体" w:hAnsi="宋体" w:cs="宋体"/>
                <w:kern w:val="0"/>
                <w:sz w:val="24"/>
              </w:rPr>
              <w:t>　</w:t>
            </w:r>
          </w:p>
        </w:tc>
        <w:tc>
          <w:tcPr>
            <w:tcW w:w="6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12</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车辆、车厢异常，造成安全隐患（如刹车异常、车厢漏水等）</w:t>
            </w:r>
          </w:p>
        </w:tc>
        <w:tc>
          <w:tcPr>
            <w:tcW w:w="2452" w:type="dxa"/>
            <w:gridSpan w:val="2"/>
            <w:tcBorders>
              <w:top w:val="single" w:color="auto" w:sz="4" w:space="0"/>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1000元（并禁止该车装车）</w:t>
            </w:r>
          </w:p>
        </w:tc>
      </w:tr>
      <w:tr>
        <w:tblPrEx>
          <w:tblCellMar>
            <w:top w:w="0" w:type="dxa"/>
            <w:left w:w="108" w:type="dxa"/>
            <w:bottom w:w="0" w:type="dxa"/>
            <w:right w:w="108" w:type="dxa"/>
          </w:tblCellMar>
        </w:tblPrEx>
        <w:trPr>
          <w:trHeight w:val="605" w:hRule="atLeast"/>
        </w:trPr>
        <w:tc>
          <w:tcPr>
            <w:tcW w:w="45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13</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外车未使用挡网，若挡网遗失需另缴交500元向</w:t>
            </w:r>
            <w:r>
              <w:rPr>
                <w:rFonts w:hint="eastAsia" w:ascii="宋体" w:hAnsi="宋体" w:cs="宋体"/>
                <w:kern w:val="0"/>
                <w:sz w:val="20"/>
                <w:szCs w:val="20"/>
                <w:lang w:eastAsia="zh-CN"/>
              </w:rPr>
              <w:t>仓库</w:t>
            </w:r>
            <w:r>
              <w:rPr>
                <w:rFonts w:hint="eastAsia" w:ascii="宋体" w:hAnsi="宋体" w:cs="宋体"/>
                <w:kern w:val="0"/>
                <w:sz w:val="20"/>
                <w:szCs w:val="20"/>
              </w:rPr>
              <w:t>申请补发</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2000元（并禁止该车装车）</w:t>
            </w:r>
          </w:p>
        </w:tc>
      </w:tr>
      <w:tr>
        <w:tblPrEx>
          <w:tblCellMar>
            <w:top w:w="0" w:type="dxa"/>
            <w:left w:w="108" w:type="dxa"/>
            <w:bottom w:w="0" w:type="dxa"/>
            <w:right w:w="108" w:type="dxa"/>
          </w:tblCellMar>
        </w:tblPrEx>
        <w:trPr>
          <w:trHeight w:val="605" w:hRule="atLeast"/>
        </w:trPr>
        <w:tc>
          <w:tcPr>
            <w:tcW w:w="450"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14</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运输公司人员或车辆任何原因损毁</w:t>
            </w:r>
            <w:r>
              <w:rPr>
                <w:rFonts w:hint="eastAsia" w:ascii="宋体" w:hAnsi="宋体" w:cs="宋体"/>
                <w:kern w:val="0"/>
                <w:sz w:val="20"/>
                <w:szCs w:val="20"/>
                <w:lang w:eastAsia="zh-CN"/>
              </w:rPr>
              <w:t>仓库</w:t>
            </w:r>
            <w:r>
              <w:rPr>
                <w:rFonts w:hint="eastAsia" w:ascii="宋体" w:hAnsi="宋体" w:cs="宋体"/>
                <w:kern w:val="0"/>
                <w:sz w:val="20"/>
                <w:szCs w:val="20"/>
              </w:rPr>
              <w:t>公共设施</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3000元（且需赔偿</w:t>
            </w:r>
            <w:r>
              <w:rPr>
                <w:rFonts w:hint="eastAsia" w:ascii="宋体" w:hAnsi="宋体" w:cs="宋体"/>
                <w:color w:val="auto"/>
                <w:kern w:val="0"/>
                <w:sz w:val="20"/>
                <w:szCs w:val="20"/>
                <w:shd w:val="clear" w:color="auto" w:fill="auto"/>
                <w:lang w:eastAsia="zh-CN"/>
              </w:rPr>
              <w:t>仓库</w:t>
            </w:r>
            <w:r>
              <w:rPr>
                <w:rFonts w:hint="eastAsia" w:ascii="宋体" w:hAnsi="宋体" w:cs="宋体"/>
                <w:color w:val="auto"/>
                <w:kern w:val="0"/>
                <w:sz w:val="20"/>
                <w:szCs w:val="20"/>
                <w:shd w:val="clear" w:color="auto" w:fill="auto"/>
              </w:rPr>
              <w:t>所有损失）</w:t>
            </w:r>
          </w:p>
        </w:tc>
      </w:tr>
      <w:tr>
        <w:tblPrEx>
          <w:tblCellMar>
            <w:top w:w="0" w:type="dxa"/>
            <w:left w:w="108" w:type="dxa"/>
            <w:bottom w:w="0" w:type="dxa"/>
            <w:right w:w="108" w:type="dxa"/>
          </w:tblCellMar>
        </w:tblPrEx>
        <w:trPr>
          <w:trHeight w:val="605" w:hRule="atLeast"/>
        </w:trPr>
        <w:tc>
          <w:tcPr>
            <w:tcW w:w="450" w:type="dxa"/>
            <w:vMerge w:val="continue"/>
            <w:tcBorders>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15</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为作业安全考量，除装车驾驶员外，其余非相关作业人员一律不准入仓（如妇女、小孩或其他人员）</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hint="eastAsia"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3000元及停止装车并列入黑名单</w:t>
            </w:r>
          </w:p>
        </w:tc>
      </w:tr>
      <w:tr>
        <w:tblPrEx>
          <w:tblCellMar>
            <w:top w:w="0" w:type="dxa"/>
            <w:left w:w="108" w:type="dxa"/>
            <w:bottom w:w="0" w:type="dxa"/>
            <w:right w:w="108" w:type="dxa"/>
          </w:tblCellMar>
        </w:tblPrEx>
        <w:trPr>
          <w:trHeight w:val="605" w:hRule="atLeast"/>
        </w:trPr>
        <w:tc>
          <w:tcPr>
            <w:tcW w:w="450" w:type="dxa"/>
            <w:vMerge w:val="restart"/>
            <w:tcBorders>
              <w:top w:val="nil"/>
              <w:left w:val="single" w:color="auto" w:sz="8" w:space="0"/>
              <w:right w:val="single" w:color="auto" w:sz="4" w:space="0"/>
            </w:tcBorders>
            <w:shd w:val="clear" w:color="auto" w:fill="CC99FF"/>
            <w:vAlign w:val="center"/>
          </w:tcPr>
          <w:p>
            <w:pPr>
              <w:widowControl/>
              <w:jc w:val="center"/>
              <w:rPr>
                <w:rFonts w:ascii="宋体" w:hAnsi="宋体" w:cs="宋体"/>
                <w:kern w:val="0"/>
                <w:sz w:val="24"/>
              </w:rPr>
            </w:pPr>
            <w:r>
              <w:rPr>
                <w:rFonts w:hint="eastAsia" w:ascii="宋体" w:hAnsi="宋体" w:cs="宋体"/>
                <w:kern w:val="0"/>
                <w:sz w:val="24"/>
              </w:rPr>
              <w:t>作业规范类违规</w:t>
            </w: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16</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运输公司人员、驾驶员私自进入仓库内或任何</w:t>
            </w:r>
            <w:r>
              <w:rPr>
                <w:rFonts w:hint="eastAsia" w:ascii="宋体" w:hAnsi="宋体" w:cs="宋体"/>
                <w:kern w:val="0"/>
                <w:sz w:val="20"/>
                <w:szCs w:val="20"/>
                <w:lang w:eastAsia="zh-CN"/>
              </w:rPr>
              <w:t>仓库</w:t>
            </w:r>
            <w:r>
              <w:rPr>
                <w:rFonts w:hint="eastAsia" w:ascii="宋体" w:hAnsi="宋体" w:cs="宋体"/>
                <w:kern w:val="0"/>
                <w:sz w:val="20"/>
                <w:szCs w:val="20"/>
              </w:rPr>
              <w:t>管制区域</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3000元</w:t>
            </w:r>
          </w:p>
        </w:tc>
      </w:tr>
      <w:tr>
        <w:tblPrEx>
          <w:tblCellMar>
            <w:top w:w="0" w:type="dxa"/>
            <w:left w:w="108" w:type="dxa"/>
            <w:bottom w:w="0" w:type="dxa"/>
            <w:right w:w="108" w:type="dxa"/>
          </w:tblCellMar>
        </w:tblPrEx>
        <w:trPr>
          <w:trHeight w:val="605" w:hRule="atLeast"/>
        </w:trPr>
        <w:tc>
          <w:tcPr>
            <w:tcW w:w="450" w:type="dxa"/>
            <w:vMerge w:val="continue"/>
            <w:tcBorders>
              <w:left w:val="single" w:color="auto" w:sz="8"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17</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运输公司收到</w:t>
            </w:r>
            <w:r>
              <w:rPr>
                <w:rFonts w:hint="eastAsia" w:ascii="宋体" w:hAnsi="宋体" w:cs="宋体"/>
                <w:kern w:val="0"/>
                <w:sz w:val="20"/>
                <w:szCs w:val="20"/>
                <w:lang w:eastAsia="zh-CN"/>
              </w:rPr>
              <w:t>仓库</w:t>
            </w:r>
            <w:r>
              <w:rPr>
                <w:rFonts w:hint="eastAsia" w:ascii="宋体" w:hAnsi="宋体" w:cs="宋体"/>
                <w:kern w:val="0"/>
                <w:sz w:val="20"/>
                <w:szCs w:val="20"/>
              </w:rPr>
              <w:t>约车要求后未按</w:t>
            </w:r>
            <w:r>
              <w:rPr>
                <w:rFonts w:hint="eastAsia" w:ascii="宋体" w:hAnsi="宋体" w:cs="宋体"/>
                <w:kern w:val="0"/>
                <w:sz w:val="20"/>
                <w:szCs w:val="20"/>
                <w:lang w:eastAsia="zh-CN"/>
              </w:rPr>
              <w:t>仓库</w:t>
            </w:r>
            <w:r>
              <w:rPr>
                <w:rFonts w:hint="eastAsia" w:ascii="宋体" w:hAnsi="宋体" w:cs="宋体"/>
                <w:kern w:val="0"/>
                <w:sz w:val="20"/>
                <w:szCs w:val="20"/>
              </w:rPr>
              <w:t>要求时间到车每小时扣款200元</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每小时200元</w:t>
            </w:r>
          </w:p>
        </w:tc>
      </w:tr>
      <w:tr>
        <w:tblPrEx>
          <w:tblCellMar>
            <w:top w:w="0" w:type="dxa"/>
            <w:left w:w="108" w:type="dxa"/>
            <w:bottom w:w="0" w:type="dxa"/>
            <w:right w:w="108" w:type="dxa"/>
          </w:tblCellMar>
        </w:tblPrEx>
        <w:trPr>
          <w:trHeight w:val="605" w:hRule="atLeast"/>
        </w:trPr>
        <w:tc>
          <w:tcPr>
            <w:tcW w:w="450" w:type="dxa"/>
            <w:vMerge w:val="continue"/>
            <w:tcBorders>
              <w:left w:val="single" w:color="auto" w:sz="8"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18</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到</w:t>
            </w:r>
            <w:r>
              <w:rPr>
                <w:rFonts w:hint="eastAsia" w:ascii="宋体" w:hAnsi="宋体" w:cs="宋体"/>
                <w:kern w:val="0"/>
                <w:sz w:val="20"/>
                <w:szCs w:val="20"/>
                <w:lang w:val="en-US" w:eastAsia="zh-CN"/>
              </w:rPr>
              <w:t>仓</w:t>
            </w:r>
            <w:r>
              <w:rPr>
                <w:rFonts w:hint="eastAsia" w:ascii="宋体" w:hAnsi="宋体" w:cs="宋体"/>
                <w:kern w:val="0"/>
                <w:sz w:val="20"/>
                <w:szCs w:val="20"/>
              </w:rPr>
              <w:t>时间超规定时间一小时以上每小时罚款</w:t>
            </w:r>
            <w:r>
              <w:rPr>
                <w:rFonts w:hint="eastAsia" w:ascii="宋体" w:hAnsi="宋体" w:cs="宋体"/>
                <w:kern w:val="0"/>
                <w:sz w:val="20"/>
                <w:szCs w:val="20"/>
                <w:lang w:val="en-US" w:eastAsia="zh-CN"/>
              </w:rPr>
              <w:t>200</w:t>
            </w:r>
            <w:r>
              <w:rPr>
                <w:rFonts w:hint="eastAsia" w:ascii="宋体" w:hAnsi="宋体" w:cs="宋体"/>
                <w:kern w:val="0"/>
                <w:sz w:val="20"/>
                <w:szCs w:val="20"/>
              </w:rPr>
              <w:t>元</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超时每小时</w:t>
            </w:r>
            <w:r>
              <w:rPr>
                <w:rFonts w:hint="eastAsia" w:ascii="宋体" w:hAnsi="宋体" w:cs="宋体"/>
                <w:color w:val="auto"/>
                <w:kern w:val="0"/>
                <w:sz w:val="20"/>
                <w:szCs w:val="20"/>
                <w:shd w:val="clear" w:color="auto" w:fill="auto"/>
                <w:lang w:val="en-US" w:eastAsia="zh-CN"/>
              </w:rPr>
              <w:t>200</w:t>
            </w:r>
            <w:r>
              <w:rPr>
                <w:rFonts w:hint="eastAsia" w:ascii="宋体" w:hAnsi="宋体" w:cs="宋体"/>
                <w:color w:val="auto"/>
                <w:kern w:val="0"/>
                <w:sz w:val="20"/>
                <w:szCs w:val="20"/>
                <w:shd w:val="clear" w:color="auto" w:fill="auto"/>
              </w:rPr>
              <w:t>元</w:t>
            </w:r>
          </w:p>
        </w:tc>
      </w:tr>
      <w:tr>
        <w:tblPrEx>
          <w:tblCellMar>
            <w:top w:w="0" w:type="dxa"/>
            <w:left w:w="108" w:type="dxa"/>
            <w:bottom w:w="0" w:type="dxa"/>
            <w:right w:w="108" w:type="dxa"/>
          </w:tblCellMar>
        </w:tblPrEx>
        <w:trPr>
          <w:trHeight w:val="605" w:hRule="atLeast"/>
        </w:trPr>
        <w:tc>
          <w:tcPr>
            <w:tcW w:w="450" w:type="dxa"/>
            <w:vMerge w:val="continue"/>
            <w:tcBorders>
              <w:left w:val="single" w:color="auto" w:sz="8"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19</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运输公司车辆拒绝至</w:t>
            </w:r>
            <w:r>
              <w:rPr>
                <w:rFonts w:hint="eastAsia" w:ascii="宋体" w:hAnsi="宋体" w:cs="宋体"/>
                <w:kern w:val="0"/>
                <w:sz w:val="20"/>
                <w:szCs w:val="20"/>
                <w:lang w:eastAsia="zh-CN"/>
              </w:rPr>
              <w:t>仓库</w:t>
            </w:r>
            <w:r>
              <w:rPr>
                <w:rFonts w:hint="eastAsia" w:ascii="宋体" w:hAnsi="宋体" w:cs="宋体"/>
                <w:kern w:val="0"/>
                <w:sz w:val="20"/>
                <w:szCs w:val="20"/>
              </w:rPr>
              <w:t>指定仓库、出货口装车</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1000元（并禁止该车装车）</w:t>
            </w:r>
          </w:p>
        </w:tc>
      </w:tr>
      <w:tr>
        <w:tblPrEx>
          <w:tblCellMar>
            <w:top w:w="0" w:type="dxa"/>
            <w:left w:w="108" w:type="dxa"/>
            <w:bottom w:w="0" w:type="dxa"/>
            <w:right w:w="108" w:type="dxa"/>
          </w:tblCellMar>
        </w:tblPrEx>
        <w:trPr>
          <w:trHeight w:val="605" w:hRule="atLeast"/>
        </w:trPr>
        <w:tc>
          <w:tcPr>
            <w:tcW w:w="450" w:type="dxa"/>
            <w:vMerge w:val="continue"/>
            <w:tcBorders>
              <w:left w:val="single" w:color="auto" w:sz="8"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20</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运输</w:t>
            </w:r>
            <w:r>
              <w:rPr>
                <w:rFonts w:hint="eastAsia" w:ascii="宋体" w:hAnsi="宋体" w:cs="宋体"/>
                <w:kern w:val="0"/>
                <w:sz w:val="20"/>
                <w:szCs w:val="20"/>
                <w:lang w:val="en-US" w:eastAsia="zh-CN"/>
              </w:rPr>
              <w:t>车辆</w:t>
            </w:r>
            <w:r>
              <w:rPr>
                <w:rFonts w:hint="eastAsia" w:ascii="宋体" w:hAnsi="宋体" w:cs="宋体"/>
                <w:kern w:val="0"/>
                <w:sz w:val="20"/>
                <w:szCs w:val="20"/>
              </w:rPr>
              <w:t>未按</w:t>
            </w:r>
            <w:r>
              <w:rPr>
                <w:rFonts w:hint="eastAsia" w:ascii="宋体" w:hAnsi="宋体" w:cs="宋体"/>
                <w:kern w:val="0"/>
                <w:sz w:val="20"/>
                <w:szCs w:val="20"/>
                <w:lang w:val="en-US" w:eastAsia="zh-CN"/>
              </w:rPr>
              <w:t>约定装载</w:t>
            </w:r>
            <w:r>
              <w:rPr>
                <w:rFonts w:hint="eastAsia" w:ascii="宋体" w:hAnsi="宋体" w:cs="宋体"/>
                <w:kern w:val="0"/>
                <w:sz w:val="20"/>
                <w:szCs w:val="20"/>
              </w:rPr>
              <w:t>逆向物流</w:t>
            </w:r>
            <w:r>
              <w:rPr>
                <w:rFonts w:hint="eastAsia" w:ascii="宋体" w:hAnsi="宋体" w:cs="宋体"/>
                <w:kern w:val="0"/>
                <w:sz w:val="20"/>
                <w:szCs w:val="20"/>
                <w:lang w:val="en-US" w:eastAsia="zh-CN"/>
              </w:rPr>
              <w:t>回发货仓</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3000元</w:t>
            </w:r>
          </w:p>
        </w:tc>
      </w:tr>
      <w:tr>
        <w:tblPrEx>
          <w:tblCellMar>
            <w:top w:w="0" w:type="dxa"/>
            <w:left w:w="108" w:type="dxa"/>
            <w:bottom w:w="0" w:type="dxa"/>
            <w:right w:w="108" w:type="dxa"/>
          </w:tblCellMar>
        </w:tblPrEx>
        <w:trPr>
          <w:trHeight w:val="605" w:hRule="atLeast"/>
        </w:trPr>
        <w:tc>
          <w:tcPr>
            <w:tcW w:w="450" w:type="dxa"/>
            <w:vMerge w:val="continue"/>
            <w:tcBorders>
              <w:left w:val="single" w:color="auto" w:sz="8"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21</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处理</w:t>
            </w:r>
            <w:r>
              <w:rPr>
                <w:rFonts w:hint="eastAsia" w:ascii="宋体" w:hAnsi="宋体" w:cs="宋体"/>
                <w:kern w:val="0"/>
                <w:sz w:val="20"/>
                <w:szCs w:val="20"/>
                <w:lang w:eastAsia="zh-CN"/>
              </w:rPr>
              <w:t>仓库</w:t>
            </w:r>
            <w:r>
              <w:rPr>
                <w:rFonts w:hint="eastAsia" w:ascii="宋体" w:hAnsi="宋体" w:cs="宋体"/>
                <w:kern w:val="0"/>
                <w:sz w:val="20"/>
                <w:szCs w:val="20"/>
              </w:rPr>
              <w:t>向运输公司索赔之任何欠款或赔偿不及时（收到我公司要求赔付的邮件之日起两周之内必须赔付完毕）</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1000元</w:t>
            </w:r>
          </w:p>
        </w:tc>
      </w:tr>
      <w:tr>
        <w:tblPrEx>
          <w:tblCellMar>
            <w:top w:w="0" w:type="dxa"/>
            <w:left w:w="108" w:type="dxa"/>
            <w:bottom w:w="0" w:type="dxa"/>
            <w:right w:w="108" w:type="dxa"/>
          </w:tblCellMar>
        </w:tblPrEx>
        <w:trPr>
          <w:trHeight w:val="605" w:hRule="atLeast"/>
        </w:trPr>
        <w:tc>
          <w:tcPr>
            <w:tcW w:w="450" w:type="dxa"/>
            <w:vMerge w:val="continue"/>
            <w:tcBorders>
              <w:left w:val="single" w:color="auto" w:sz="8"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22</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随意</w:t>
            </w:r>
            <w:r>
              <w:rPr>
                <w:rFonts w:hint="eastAsia" w:ascii="宋体" w:hAnsi="宋体" w:cs="宋体"/>
                <w:kern w:val="0"/>
                <w:sz w:val="20"/>
                <w:szCs w:val="20"/>
                <w:lang w:val="en-US" w:eastAsia="zh-CN"/>
              </w:rPr>
              <w:t>在仓</w:t>
            </w:r>
            <w:r>
              <w:rPr>
                <w:rFonts w:hint="eastAsia" w:ascii="宋体" w:hAnsi="宋体" w:cs="宋体"/>
                <w:kern w:val="0"/>
                <w:sz w:val="20"/>
                <w:szCs w:val="20"/>
              </w:rPr>
              <w:t>内倾倒车内垃圾</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hint="eastAsia"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2000元</w:t>
            </w:r>
          </w:p>
        </w:tc>
      </w:tr>
      <w:tr>
        <w:tblPrEx>
          <w:tblCellMar>
            <w:top w:w="0" w:type="dxa"/>
            <w:left w:w="108" w:type="dxa"/>
            <w:bottom w:w="0" w:type="dxa"/>
            <w:right w:w="108" w:type="dxa"/>
          </w:tblCellMar>
        </w:tblPrEx>
        <w:trPr>
          <w:trHeight w:val="605" w:hRule="atLeast"/>
        </w:trPr>
        <w:tc>
          <w:tcPr>
            <w:tcW w:w="450" w:type="dxa"/>
            <w:vMerge w:val="continue"/>
            <w:tcBorders>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23</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进入</w:t>
            </w:r>
            <w:r>
              <w:rPr>
                <w:rFonts w:hint="eastAsia" w:ascii="宋体" w:hAnsi="宋体" w:cs="宋体"/>
                <w:kern w:val="0"/>
                <w:sz w:val="20"/>
                <w:szCs w:val="20"/>
                <w:lang w:val="en-US" w:eastAsia="zh-CN"/>
              </w:rPr>
              <w:t>仓</w:t>
            </w:r>
            <w:r>
              <w:rPr>
                <w:rFonts w:hint="eastAsia" w:ascii="宋体" w:hAnsi="宋体" w:cs="宋体"/>
                <w:kern w:val="0"/>
                <w:sz w:val="20"/>
                <w:szCs w:val="20"/>
              </w:rPr>
              <w:t>内未依指定码头停车（随意停车）</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hint="eastAsia"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3000元</w:t>
            </w:r>
          </w:p>
        </w:tc>
      </w:tr>
      <w:tr>
        <w:tblPrEx>
          <w:tblCellMar>
            <w:top w:w="0" w:type="dxa"/>
            <w:left w:w="108" w:type="dxa"/>
            <w:bottom w:w="0" w:type="dxa"/>
            <w:right w:w="108" w:type="dxa"/>
          </w:tblCellMar>
        </w:tblPrEx>
        <w:trPr>
          <w:trHeight w:val="605" w:hRule="atLeast"/>
        </w:trPr>
        <w:tc>
          <w:tcPr>
            <w:tcW w:w="450" w:type="dxa"/>
            <w:vMerge w:val="restart"/>
            <w:tcBorders>
              <w:top w:val="nil"/>
              <w:left w:val="single" w:color="auto" w:sz="8" w:space="0"/>
              <w:bottom w:val="single" w:color="000000" w:sz="8" w:space="0"/>
              <w:right w:val="single" w:color="auto" w:sz="4" w:space="0"/>
            </w:tcBorders>
            <w:shd w:val="clear" w:color="auto" w:fill="FFCC00"/>
            <w:vAlign w:val="center"/>
          </w:tcPr>
          <w:p>
            <w:pPr>
              <w:widowControl/>
              <w:jc w:val="center"/>
              <w:rPr>
                <w:rFonts w:ascii="宋体" w:hAnsi="宋体" w:cs="宋体"/>
                <w:kern w:val="0"/>
                <w:sz w:val="24"/>
              </w:rPr>
            </w:pPr>
            <w:r>
              <w:rPr>
                <w:rFonts w:hint="eastAsia" w:ascii="宋体" w:hAnsi="宋体" w:cs="宋体"/>
                <w:kern w:val="0"/>
                <w:sz w:val="24"/>
              </w:rPr>
              <w:t>财务作业类违规</w:t>
            </w: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24</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运输公司人员代签</w:t>
            </w:r>
            <w:r>
              <w:rPr>
                <w:rFonts w:hint="eastAsia" w:ascii="宋体" w:hAnsi="宋体" w:cs="宋体"/>
                <w:kern w:val="0"/>
                <w:sz w:val="20"/>
                <w:szCs w:val="20"/>
                <w:lang w:eastAsia="zh-CN"/>
              </w:rPr>
              <w:t>派车凭证</w:t>
            </w:r>
            <w:r>
              <w:rPr>
                <w:rFonts w:hint="eastAsia" w:ascii="宋体" w:hAnsi="宋体" w:cs="宋体"/>
                <w:kern w:val="0"/>
                <w:sz w:val="20"/>
                <w:szCs w:val="20"/>
              </w:rPr>
              <w:t>、重复结账、提供虚假信息</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20000元（该人员列入黑名单并收回该店送货权）</w:t>
            </w:r>
          </w:p>
        </w:tc>
      </w:tr>
      <w:tr>
        <w:tblPrEx>
          <w:tblCellMar>
            <w:top w:w="0" w:type="dxa"/>
            <w:left w:w="108" w:type="dxa"/>
            <w:bottom w:w="0" w:type="dxa"/>
            <w:right w:w="108" w:type="dxa"/>
          </w:tblCellMar>
        </w:tblPrEx>
        <w:trPr>
          <w:trHeight w:val="605" w:hRule="atLeast"/>
        </w:trPr>
        <w:tc>
          <w:tcPr>
            <w:tcW w:w="450" w:type="dxa"/>
            <w:vMerge w:val="continue"/>
            <w:tcBorders>
              <w:top w:val="nil"/>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25</w:t>
            </w:r>
          </w:p>
        </w:tc>
        <w:tc>
          <w:tcPr>
            <w:tcW w:w="6747" w:type="dxa"/>
            <w:gridSpan w:val="8"/>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运输公司提供之月结资料错误</w:t>
            </w:r>
          </w:p>
        </w:tc>
        <w:tc>
          <w:tcPr>
            <w:tcW w:w="2452" w:type="dxa"/>
            <w:gridSpan w:val="2"/>
            <w:tcBorders>
              <w:top w:val="nil"/>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2000元</w:t>
            </w:r>
          </w:p>
        </w:tc>
      </w:tr>
      <w:tr>
        <w:tblPrEx>
          <w:tblCellMar>
            <w:top w:w="0" w:type="dxa"/>
            <w:left w:w="108" w:type="dxa"/>
            <w:bottom w:w="0" w:type="dxa"/>
            <w:right w:w="108" w:type="dxa"/>
          </w:tblCellMar>
        </w:tblPrEx>
        <w:trPr>
          <w:trHeight w:val="605" w:hRule="atLeast"/>
        </w:trPr>
        <w:tc>
          <w:tcPr>
            <w:tcW w:w="450" w:type="dxa"/>
            <w:vMerge w:val="continue"/>
            <w:tcBorders>
              <w:top w:val="nil"/>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26</w:t>
            </w:r>
          </w:p>
        </w:tc>
        <w:tc>
          <w:tcPr>
            <w:tcW w:w="6747" w:type="dxa"/>
            <w:gridSpan w:val="8"/>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运输公司错开发票（账户或金额等任何错误）</w:t>
            </w:r>
          </w:p>
        </w:tc>
        <w:tc>
          <w:tcPr>
            <w:tcW w:w="2452" w:type="dxa"/>
            <w:gridSpan w:val="2"/>
            <w:tcBorders>
              <w:top w:val="single" w:color="auto" w:sz="4" w:space="0"/>
              <w:left w:val="nil"/>
              <w:bottom w:val="single" w:color="auto" w:sz="4"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5000元（并延后付款日期）</w:t>
            </w:r>
          </w:p>
        </w:tc>
      </w:tr>
      <w:tr>
        <w:tblPrEx>
          <w:tblCellMar>
            <w:top w:w="0" w:type="dxa"/>
            <w:left w:w="108" w:type="dxa"/>
            <w:bottom w:w="0" w:type="dxa"/>
            <w:right w:w="108" w:type="dxa"/>
          </w:tblCellMar>
        </w:tblPrEx>
        <w:trPr>
          <w:trHeight w:val="605" w:hRule="atLeast"/>
        </w:trPr>
        <w:tc>
          <w:tcPr>
            <w:tcW w:w="450" w:type="dxa"/>
            <w:vMerge w:val="continue"/>
            <w:tcBorders>
              <w:top w:val="nil"/>
              <w:left w:val="single" w:color="auto" w:sz="8" w:space="0"/>
              <w:bottom w:val="single" w:color="000000" w:sz="8" w:space="0"/>
              <w:right w:val="single" w:color="auto" w:sz="4" w:space="0"/>
            </w:tcBorders>
            <w:shd w:val="clear" w:color="auto" w:fill="auto"/>
            <w:vAlign w:val="center"/>
          </w:tcPr>
          <w:p>
            <w:pPr>
              <w:widowControl/>
              <w:jc w:val="left"/>
              <w:rPr>
                <w:rFonts w:ascii="宋体" w:hAnsi="宋体" w:cs="宋体"/>
                <w:kern w:val="0"/>
                <w:sz w:val="24"/>
              </w:rPr>
            </w:pPr>
          </w:p>
        </w:tc>
        <w:tc>
          <w:tcPr>
            <w:tcW w:w="610" w:type="dxa"/>
            <w:tcBorders>
              <w:top w:val="nil"/>
              <w:left w:val="nil"/>
              <w:bottom w:val="single" w:color="auto" w:sz="8"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27</w:t>
            </w:r>
          </w:p>
        </w:tc>
        <w:tc>
          <w:tcPr>
            <w:tcW w:w="6747" w:type="dxa"/>
            <w:gridSpan w:val="8"/>
            <w:tcBorders>
              <w:top w:val="nil"/>
              <w:left w:val="nil"/>
              <w:bottom w:val="single" w:color="auto" w:sz="8"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运输公司未在指定时间内提交发票（每月5日之前）</w:t>
            </w:r>
          </w:p>
        </w:tc>
        <w:tc>
          <w:tcPr>
            <w:tcW w:w="2452" w:type="dxa"/>
            <w:gridSpan w:val="2"/>
            <w:tcBorders>
              <w:top w:val="nil"/>
              <w:left w:val="nil"/>
              <w:bottom w:val="single" w:color="auto" w:sz="8" w:space="0"/>
              <w:right w:val="single" w:color="auto" w:sz="8" w:space="0"/>
            </w:tcBorders>
            <w:shd w:val="clear" w:color="auto" w:fill="FFFF00"/>
            <w:vAlign w:val="center"/>
          </w:tcPr>
          <w:p>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5000元（并延后付款日期）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trPr>
        <w:tc>
          <w:tcPr>
            <w:tcW w:w="10259" w:type="dxa"/>
            <w:gridSpan w:val="1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pPr>
              <w:keepNext w:val="0"/>
              <w:keepLines w:val="0"/>
              <w:widowControl/>
              <w:suppressLineNumbers w:val="0"/>
              <w:jc w:val="left"/>
              <w:textAlignment w:val="bottom"/>
              <w:rPr>
                <w:rFonts w:hint="eastAsia" w:ascii="宋体" w:hAnsi="宋体" w:eastAsia="宋体" w:cs="宋体"/>
                <w:b/>
                <w:bCs/>
                <w:i w:val="0"/>
                <w:iCs w:val="0"/>
                <w:color w:val="000000"/>
                <w:sz w:val="44"/>
                <w:szCs w:val="44"/>
                <w:u w:val="none"/>
                <w:lang w:eastAsia="zh-CN"/>
              </w:rPr>
            </w:pPr>
            <w:r>
              <w:rPr>
                <w:rFonts w:hint="eastAsia" w:ascii="宋体" w:hAnsi="宋体" w:cs="宋体"/>
                <w:b/>
                <w:bCs/>
                <w:i w:val="0"/>
                <w:iCs w:val="0"/>
                <w:color w:val="000000"/>
                <w:sz w:val="24"/>
                <w:szCs w:val="24"/>
                <w:u w:val="none"/>
                <w:lang w:eastAsia="zh-CN"/>
              </w:rPr>
              <w:t>附件三：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0259" w:type="dxa"/>
            <w:gridSpan w:val="12"/>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b w:val="0"/>
                <w:bCs w:val="0"/>
                <w:i w:val="0"/>
                <w:iCs w:val="0"/>
                <w:color w:val="000000"/>
                <w:sz w:val="34"/>
                <w:szCs w:val="34"/>
                <w:u w:val="none"/>
              </w:rPr>
            </w:pPr>
            <w:r>
              <w:rPr>
                <w:rFonts w:hint="eastAsia" w:ascii="宋体" w:hAnsi="宋体" w:eastAsia="宋体" w:cs="宋体"/>
                <w:b w:val="0"/>
                <w:bCs w:val="0"/>
                <w:i w:val="0"/>
                <w:iCs w:val="0"/>
                <w:color w:val="000000"/>
                <w:kern w:val="0"/>
                <w:sz w:val="34"/>
                <w:szCs w:val="34"/>
                <w:u w:val="none"/>
                <w:lang w:val="en-US" w:eastAsia="zh-CN" w:bidi="ar"/>
              </w:rPr>
              <w:t>运输供应商月考核汇总表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491" w:type="dxa"/>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val="0"/>
                <w:bCs w:val="0"/>
                <w:i w:val="0"/>
                <w:iCs w:val="0"/>
                <w:color w:val="000000"/>
                <w:sz w:val="30"/>
                <w:szCs w:val="30"/>
                <w:u w:val="none"/>
              </w:rPr>
            </w:pPr>
            <w:r>
              <w:rPr>
                <w:rFonts w:hint="eastAsia" w:ascii="宋体" w:hAnsi="宋体" w:eastAsia="宋体" w:cs="宋体"/>
                <w:b w:val="0"/>
                <w:bCs w:val="0"/>
                <w:i w:val="0"/>
                <w:iCs w:val="0"/>
                <w:color w:val="000000"/>
                <w:kern w:val="0"/>
                <w:sz w:val="30"/>
                <w:szCs w:val="30"/>
                <w:u w:val="none"/>
                <w:lang w:val="en-US" w:eastAsia="zh-CN" w:bidi="ar"/>
              </w:rPr>
              <w:t>月份：</w:t>
            </w:r>
          </w:p>
        </w:tc>
        <w:tc>
          <w:tcPr>
            <w:tcW w:w="2217" w:type="dxa"/>
            <w:gridSpan w:val="3"/>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2026年</w:t>
            </w:r>
            <w:r>
              <w:rPr>
                <w:rFonts w:hint="eastAsia" w:ascii="宋体" w:hAnsi="宋体" w:eastAsia="宋体" w:cs="宋体"/>
                <w:b w:val="0"/>
                <w:bCs w:val="0"/>
                <w:i/>
                <w:iCs/>
                <w:color w:val="000000"/>
                <w:kern w:val="0"/>
                <w:sz w:val="24"/>
                <w:szCs w:val="24"/>
                <w:u w:val="single"/>
                <w:lang w:val="en-US" w:eastAsia="zh-CN" w:bidi="ar"/>
              </w:rPr>
              <w:t xml:space="preserve"> </w:t>
            </w:r>
            <w:r>
              <w:rPr>
                <w:rFonts w:hint="eastAsia" w:ascii="宋体" w:hAnsi="宋体" w:eastAsia="宋体" w:cs="宋体"/>
                <w:b w:val="0"/>
                <w:bCs w:val="0"/>
                <w:i w:val="0"/>
                <w:iCs w:val="0"/>
                <w:color w:val="000000"/>
                <w:kern w:val="0"/>
                <w:sz w:val="24"/>
                <w:szCs w:val="24"/>
                <w:u w:val="none"/>
                <w:lang w:val="en-US" w:eastAsia="zh-CN" w:bidi="ar"/>
              </w:rPr>
              <w:t>月</w:t>
            </w:r>
          </w:p>
        </w:tc>
        <w:tc>
          <w:tcPr>
            <w:tcW w:w="3824" w:type="dxa"/>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1月26日— 2月25日)</w:t>
            </w:r>
          </w:p>
        </w:tc>
        <w:tc>
          <w:tcPr>
            <w:tcW w:w="2727" w:type="dxa"/>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运输公司：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51"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当月送货总趟次</w:t>
            </w:r>
          </w:p>
        </w:tc>
        <w:tc>
          <w:tcPr>
            <w:tcW w:w="19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送货准时评价</w:t>
            </w:r>
          </w:p>
        </w:tc>
        <w:tc>
          <w:tcPr>
            <w:tcW w:w="25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回单及时评价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顾客满意评价</w:t>
            </w:r>
          </w:p>
        </w:tc>
        <w:tc>
          <w:tcPr>
            <w:tcW w:w="14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工作配合评价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安全驾驶评价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175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sz w:val="24"/>
                <w:szCs w:val="24"/>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迟到次数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准时率</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回单不及时次数</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及时率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分店投诉次数</w:t>
            </w:r>
          </w:p>
        </w:tc>
        <w:tc>
          <w:tcPr>
            <w:tcW w:w="1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司机不配合次数</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出现事故次数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7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4"/>
                <w:szCs w:val="24"/>
                <w:u w:val="none"/>
              </w:rPr>
            </w:pP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#DIV/0!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sz w:val="24"/>
                <w:szCs w:val="24"/>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#DIV/0!</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0</w:t>
            </w:r>
          </w:p>
        </w:tc>
        <w:tc>
          <w:tcPr>
            <w:tcW w:w="1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0</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75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评    价</w:t>
            </w:r>
          </w:p>
        </w:tc>
        <w:tc>
          <w:tcPr>
            <w:tcW w:w="19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sz w:val="24"/>
                <w:szCs w:val="24"/>
                <w:u w:val="none"/>
              </w:rPr>
            </w:pPr>
          </w:p>
        </w:tc>
        <w:tc>
          <w:tcPr>
            <w:tcW w:w="25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000000"/>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优</w:t>
            </w:r>
          </w:p>
        </w:tc>
        <w:tc>
          <w:tcPr>
            <w:tcW w:w="1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优</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175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得    分</w:t>
            </w:r>
          </w:p>
        </w:tc>
        <w:tc>
          <w:tcPr>
            <w:tcW w:w="19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0</w:t>
            </w:r>
          </w:p>
        </w:tc>
        <w:tc>
          <w:tcPr>
            <w:tcW w:w="25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0</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w:t>
            </w:r>
          </w:p>
        </w:tc>
        <w:tc>
          <w:tcPr>
            <w:tcW w:w="145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75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总    评</w:t>
            </w:r>
          </w:p>
        </w:tc>
        <w:tc>
          <w:tcPr>
            <w:tcW w:w="19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sz w:val="24"/>
                <w:szCs w:val="24"/>
                <w:u w:val="none"/>
              </w:rPr>
            </w:pPr>
          </w:p>
        </w:tc>
        <w:tc>
          <w:tcPr>
            <w:tcW w:w="655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91" w:type="dxa"/>
            <w:gridSpan w:val="3"/>
            <w:tcBorders>
              <w:top w:val="nil"/>
              <w:left w:val="nil"/>
              <w:bottom w:val="nil"/>
              <w:right w:val="nil"/>
            </w:tcBorders>
            <w:shd w:val="clear" w:color="auto" w:fill="auto"/>
            <w:noWrap/>
            <w:vAlign w:val="center"/>
          </w:tcPr>
          <w:p>
            <w:pPr>
              <w:rPr>
                <w:rFonts w:hint="eastAsia" w:ascii="宋体" w:hAnsi="宋体" w:eastAsia="宋体" w:cs="宋体"/>
                <w:b w:val="0"/>
                <w:bCs w:val="0"/>
                <w:i w:val="0"/>
                <w:iCs w:val="0"/>
                <w:color w:val="000000"/>
                <w:sz w:val="24"/>
                <w:szCs w:val="24"/>
                <w:u w:val="none"/>
              </w:rPr>
            </w:pPr>
          </w:p>
        </w:tc>
        <w:tc>
          <w:tcPr>
            <w:tcW w:w="260" w:type="dxa"/>
            <w:tcBorders>
              <w:top w:val="nil"/>
              <w:left w:val="nil"/>
              <w:bottom w:val="nil"/>
              <w:right w:val="nil"/>
            </w:tcBorders>
            <w:shd w:val="clear" w:color="auto" w:fill="auto"/>
            <w:noWrap/>
            <w:vAlign w:val="center"/>
          </w:tcPr>
          <w:p>
            <w:pPr>
              <w:rPr>
                <w:rFonts w:hint="eastAsia" w:ascii="宋体" w:hAnsi="宋体" w:eastAsia="宋体" w:cs="宋体"/>
                <w:b w:val="0"/>
                <w:bCs w:val="0"/>
                <w:i w:val="0"/>
                <w:iCs w:val="0"/>
                <w:color w:val="000000"/>
                <w:sz w:val="24"/>
                <w:szCs w:val="24"/>
                <w:u w:val="none"/>
              </w:rPr>
            </w:pPr>
          </w:p>
        </w:tc>
        <w:tc>
          <w:tcPr>
            <w:tcW w:w="922" w:type="dxa"/>
            <w:tcBorders>
              <w:top w:val="nil"/>
              <w:left w:val="nil"/>
              <w:bottom w:val="nil"/>
              <w:right w:val="nil"/>
            </w:tcBorders>
            <w:shd w:val="clear" w:color="auto" w:fill="auto"/>
            <w:noWrap/>
            <w:vAlign w:val="center"/>
          </w:tcPr>
          <w:p>
            <w:pPr>
              <w:rPr>
                <w:rFonts w:hint="eastAsia" w:ascii="宋体" w:hAnsi="宋体" w:eastAsia="宋体" w:cs="宋体"/>
                <w:b w:val="0"/>
                <w:bCs w:val="0"/>
                <w:i w:val="0"/>
                <w:iCs w:val="0"/>
                <w:color w:val="000000"/>
                <w:sz w:val="24"/>
                <w:szCs w:val="24"/>
                <w:u w:val="none"/>
              </w:rPr>
            </w:pPr>
          </w:p>
        </w:tc>
        <w:tc>
          <w:tcPr>
            <w:tcW w:w="1035" w:type="dxa"/>
            <w:tcBorders>
              <w:top w:val="nil"/>
              <w:left w:val="nil"/>
              <w:bottom w:val="nil"/>
              <w:right w:val="nil"/>
            </w:tcBorders>
            <w:shd w:val="clear" w:color="auto" w:fill="auto"/>
            <w:noWrap/>
            <w:vAlign w:val="center"/>
          </w:tcPr>
          <w:p>
            <w:pPr>
              <w:rPr>
                <w:rFonts w:hint="eastAsia" w:ascii="宋体" w:hAnsi="宋体" w:eastAsia="宋体" w:cs="宋体"/>
                <w:b w:val="0"/>
                <w:bCs w:val="0"/>
                <w:i w:val="0"/>
                <w:iCs w:val="0"/>
                <w:color w:val="000000"/>
                <w:sz w:val="24"/>
                <w:szCs w:val="24"/>
                <w:u w:val="none"/>
              </w:rPr>
            </w:pPr>
          </w:p>
        </w:tc>
        <w:tc>
          <w:tcPr>
            <w:tcW w:w="1451" w:type="dxa"/>
            <w:tcBorders>
              <w:top w:val="nil"/>
              <w:left w:val="nil"/>
              <w:bottom w:val="nil"/>
              <w:right w:val="nil"/>
            </w:tcBorders>
            <w:shd w:val="clear" w:color="auto" w:fill="auto"/>
            <w:noWrap/>
            <w:vAlign w:val="center"/>
          </w:tcPr>
          <w:p>
            <w:pPr>
              <w:rPr>
                <w:rFonts w:hint="eastAsia" w:ascii="宋体" w:hAnsi="宋体" w:eastAsia="宋体" w:cs="宋体"/>
                <w:b w:val="0"/>
                <w:bCs w:val="0"/>
                <w:i w:val="0"/>
                <w:iCs w:val="0"/>
                <w:color w:val="000000"/>
                <w:sz w:val="24"/>
                <w:szCs w:val="24"/>
                <w:u w:val="none"/>
              </w:rPr>
            </w:pPr>
          </w:p>
        </w:tc>
        <w:tc>
          <w:tcPr>
            <w:tcW w:w="1098"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c>
          <w:tcPr>
            <w:tcW w:w="1275"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c>
          <w:tcPr>
            <w:tcW w:w="1451" w:type="dxa"/>
            <w:gridSpan w:val="2"/>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c>
          <w:tcPr>
            <w:tcW w:w="1276"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91" w:type="dxa"/>
            <w:gridSpan w:val="3"/>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c>
          <w:tcPr>
            <w:tcW w:w="260"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c>
          <w:tcPr>
            <w:tcW w:w="922"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c>
          <w:tcPr>
            <w:tcW w:w="1035"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c>
          <w:tcPr>
            <w:tcW w:w="1451"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c>
          <w:tcPr>
            <w:tcW w:w="1098"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c>
          <w:tcPr>
            <w:tcW w:w="1275"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c>
          <w:tcPr>
            <w:tcW w:w="1451" w:type="dxa"/>
            <w:gridSpan w:val="2"/>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c>
          <w:tcPr>
            <w:tcW w:w="1276"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91" w:type="dxa"/>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drawing>
                <wp:anchor distT="0" distB="0" distL="114300" distR="114300" simplePos="0" relativeHeight="251659264" behindDoc="0" locked="0" layoutInCell="1" allowOverlap="1">
                  <wp:simplePos x="0" y="0"/>
                  <wp:positionH relativeFrom="column">
                    <wp:posOffset>914400</wp:posOffset>
                  </wp:positionH>
                  <wp:positionV relativeFrom="paragraph">
                    <wp:posOffset>161925</wp:posOffset>
                  </wp:positionV>
                  <wp:extent cx="2743200" cy="8890"/>
                  <wp:effectExtent l="0" t="0" r="0" b="0"/>
                  <wp:wrapNone/>
                  <wp:docPr id="5" name="shape2"/>
                  <wp:cNvGraphicFramePr/>
                  <a:graphic xmlns:a="http://schemas.openxmlformats.org/drawingml/2006/main">
                    <a:graphicData uri="http://schemas.openxmlformats.org/drawingml/2006/picture">
                      <pic:pic xmlns:pic="http://schemas.openxmlformats.org/drawingml/2006/picture">
                        <pic:nvPicPr>
                          <pic:cNvPr id="5" name="shape2"/>
                          <pic:cNvPicPr/>
                        </pic:nvPicPr>
                        <pic:blipFill>
                          <a:blip r:embed="rId8"/>
                          <a:stretch>
                            <a:fillRect/>
                          </a:stretch>
                        </pic:blipFill>
                        <pic:spPr>
                          <a:xfrm>
                            <a:off x="0" y="0"/>
                            <a:ext cx="2743200" cy="8890"/>
                          </a:xfrm>
                          <a:prstGeom prst="rect">
                            <a:avLst/>
                          </a:prstGeom>
                          <a:noFill/>
                          <a:ln>
                            <a:noFill/>
                          </a:ln>
                        </pic:spPr>
                      </pic:pic>
                    </a:graphicData>
                  </a:graphic>
                </wp:anchor>
              </w:drawing>
            </w:r>
            <w:r>
              <w:rPr>
                <w:rFonts w:hint="eastAsia" w:ascii="宋体" w:hAnsi="宋体" w:eastAsia="宋体" w:cs="宋体"/>
                <w:b w:val="0"/>
                <w:bCs w:val="0"/>
                <w:i w:val="0"/>
                <w:iCs w:val="0"/>
                <w:color w:val="000000"/>
                <w:kern w:val="0"/>
                <w:sz w:val="24"/>
                <w:szCs w:val="24"/>
                <w:u w:val="none"/>
                <w:lang w:val="en-US" w:eastAsia="zh-CN" w:bidi="ar"/>
              </w:rPr>
              <w:t>运输经理：</w:t>
            </w:r>
          </w:p>
        </w:tc>
        <w:tc>
          <w:tcPr>
            <w:tcW w:w="260"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c>
          <w:tcPr>
            <w:tcW w:w="922"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c>
          <w:tcPr>
            <w:tcW w:w="1035"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c>
          <w:tcPr>
            <w:tcW w:w="1451"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2"/>
                <w:szCs w:val="22"/>
                <w:u w:val="none"/>
              </w:rPr>
            </w:pPr>
          </w:p>
        </w:tc>
        <w:tc>
          <w:tcPr>
            <w:tcW w:w="1098"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运输课长：</w:t>
            </w:r>
          </w:p>
        </w:tc>
        <w:tc>
          <w:tcPr>
            <w:tcW w:w="1275" w:type="dxa"/>
            <w:tcBorders>
              <w:top w:val="nil"/>
              <w:left w:val="nil"/>
              <w:bottom w:val="nil"/>
              <w:right w:val="nil"/>
            </w:tcBorders>
            <w:shd w:val="clear" w:color="auto" w:fill="auto"/>
            <w:noWrap/>
            <w:vAlign w:val="bottom"/>
          </w:tcPr>
          <w:p>
            <w:pPr>
              <w:jc w:val="right"/>
              <w:rPr>
                <w:rFonts w:hint="eastAsia" w:ascii="宋体" w:hAnsi="宋体" w:eastAsia="宋体" w:cs="宋体"/>
                <w:b w:val="0"/>
                <w:bCs w:val="0"/>
                <w:i w:val="0"/>
                <w:iCs w:val="0"/>
                <w:color w:val="000000"/>
                <w:sz w:val="24"/>
                <w:szCs w:val="24"/>
                <w:u w:val="none"/>
              </w:rPr>
            </w:pPr>
          </w:p>
        </w:tc>
        <w:tc>
          <w:tcPr>
            <w:tcW w:w="1451"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供应商：</w:t>
            </w:r>
          </w:p>
        </w:tc>
        <w:tc>
          <w:tcPr>
            <w:tcW w:w="1276"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91" w:type="dxa"/>
            <w:gridSpan w:val="3"/>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4"/>
                <w:szCs w:val="24"/>
                <w:u w:val="none"/>
              </w:rPr>
            </w:pPr>
          </w:p>
        </w:tc>
        <w:tc>
          <w:tcPr>
            <w:tcW w:w="260"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4"/>
                <w:szCs w:val="24"/>
                <w:u w:val="none"/>
              </w:rPr>
            </w:pPr>
          </w:p>
        </w:tc>
        <w:tc>
          <w:tcPr>
            <w:tcW w:w="922"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4"/>
                <w:szCs w:val="24"/>
                <w:u w:val="none"/>
              </w:rPr>
            </w:pPr>
          </w:p>
        </w:tc>
        <w:tc>
          <w:tcPr>
            <w:tcW w:w="103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4"/>
                <w:szCs w:val="24"/>
                <w:u w:val="none"/>
              </w:rPr>
            </w:pPr>
          </w:p>
        </w:tc>
        <w:tc>
          <w:tcPr>
            <w:tcW w:w="1451"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2"/>
                <w:szCs w:val="22"/>
                <w:u w:val="none"/>
              </w:rPr>
            </w:pPr>
          </w:p>
        </w:tc>
        <w:tc>
          <w:tcPr>
            <w:tcW w:w="1098"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drawing>
                <wp:anchor distT="0" distB="0" distL="114300" distR="114300" simplePos="0" relativeHeight="251659264" behindDoc="0" locked="0" layoutInCell="1" allowOverlap="1">
                  <wp:simplePos x="0" y="0"/>
                  <wp:positionH relativeFrom="column">
                    <wp:posOffset>838200</wp:posOffset>
                  </wp:positionH>
                  <wp:positionV relativeFrom="paragraph">
                    <wp:posOffset>8890</wp:posOffset>
                  </wp:positionV>
                  <wp:extent cx="1475740" cy="19685"/>
                  <wp:effectExtent l="0" t="0" r="10160" b="8890"/>
                  <wp:wrapNone/>
                  <wp:docPr id="7" name="shape3"/>
                  <wp:cNvGraphicFramePr/>
                  <a:graphic xmlns:a="http://schemas.openxmlformats.org/drawingml/2006/main">
                    <a:graphicData uri="http://schemas.openxmlformats.org/drawingml/2006/picture">
                      <pic:pic xmlns:pic="http://schemas.openxmlformats.org/drawingml/2006/picture">
                        <pic:nvPicPr>
                          <pic:cNvPr id="7" name="shape3"/>
                          <pic:cNvPicPr/>
                        </pic:nvPicPr>
                        <pic:blipFill>
                          <a:blip r:embed="rId9"/>
                          <a:stretch>
                            <a:fillRect/>
                          </a:stretch>
                        </pic:blipFill>
                        <pic:spPr>
                          <a:xfrm>
                            <a:off x="0" y="0"/>
                            <a:ext cx="1475740" cy="19685"/>
                          </a:xfrm>
                          <a:prstGeom prst="rect">
                            <a:avLst/>
                          </a:prstGeom>
                          <a:noFill/>
                          <a:ln>
                            <a:noFill/>
                          </a:ln>
                        </pic:spPr>
                      </pic:pic>
                    </a:graphicData>
                  </a:graphic>
                </wp:anchor>
              </w:drawing>
            </w:r>
          </w:p>
        </w:tc>
        <w:tc>
          <w:tcPr>
            <w:tcW w:w="1275" w:type="dxa"/>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4"/>
                <w:szCs w:val="24"/>
                <w:u w:val="none"/>
              </w:rPr>
            </w:pPr>
          </w:p>
        </w:tc>
        <w:tc>
          <w:tcPr>
            <w:tcW w:w="1451" w:type="dxa"/>
            <w:gridSpan w:val="2"/>
            <w:tcBorders>
              <w:top w:val="nil"/>
              <w:left w:val="nil"/>
              <w:bottom w:val="nil"/>
              <w:right w:val="nil"/>
            </w:tcBorders>
            <w:shd w:val="clear" w:color="auto" w:fill="auto"/>
            <w:noWrap/>
            <w:vAlign w:val="bottom"/>
          </w:tcPr>
          <w:p>
            <w:pPr>
              <w:rPr>
                <w:rFonts w:hint="eastAsia" w:ascii="宋体" w:hAnsi="宋体" w:eastAsia="宋体" w:cs="宋体"/>
                <w:b/>
                <w:bCs/>
                <w:i w:val="0"/>
                <w:iCs w:val="0"/>
                <w:color w:val="000000"/>
                <w:sz w:val="24"/>
                <w:szCs w:val="24"/>
                <w:u w:val="none"/>
              </w:rPr>
            </w:pPr>
          </w:p>
        </w:tc>
        <w:tc>
          <w:tcPr>
            <w:tcW w:w="1276"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drawing>
                <wp:anchor distT="0" distB="0" distL="114300" distR="114300" simplePos="0" relativeHeight="251659264" behindDoc="0" locked="0" layoutInCell="1" allowOverlap="1">
                  <wp:simplePos x="0" y="0"/>
                  <wp:positionH relativeFrom="column">
                    <wp:posOffset>18415</wp:posOffset>
                  </wp:positionH>
                  <wp:positionV relativeFrom="paragraph">
                    <wp:posOffset>0</wp:posOffset>
                  </wp:positionV>
                  <wp:extent cx="1000760" cy="8890"/>
                  <wp:effectExtent l="0" t="0" r="0" b="0"/>
                  <wp:wrapNone/>
                  <wp:docPr id="8" name="shape1"/>
                  <wp:cNvGraphicFramePr/>
                  <a:graphic xmlns:a="http://schemas.openxmlformats.org/drawingml/2006/main">
                    <a:graphicData uri="http://schemas.openxmlformats.org/drawingml/2006/picture">
                      <pic:pic xmlns:pic="http://schemas.openxmlformats.org/drawingml/2006/picture">
                        <pic:nvPicPr>
                          <pic:cNvPr id="8" name="shape1"/>
                          <pic:cNvPicPr/>
                        </pic:nvPicPr>
                        <pic:blipFill>
                          <a:blip r:embed="rId10"/>
                          <a:stretch>
                            <a:fillRect/>
                          </a:stretch>
                        </pic:blipFill>
                        <pic:spPr>
                          <a:xfrm>
                            <a:off x="0" y="0"/>
                            <a:ext cx="1000760" cy="8890"/>
                          </a:xfrm>
                          <a:prstGeom prst="rect">
                            <a:avLst/>
                          </a:prstGeom>
                          <a:noFill/>
                          <a:ln>
                            <a:noFill/>
                          </a:ln>
                        </pic:spPr>
                      </pic:pic>
                    </a:graphicData>
                  </a:graphic>
                </wp:anchor>
              </w:drawing>
            </w:r>
            <w:r>
              <w:rPr>
                <w:rFonts w:hint="eastAsia" w:ascii="宋体" w:hAnsi="宋体" w:eastAsia="宋体" w:cs="宋体"/>
                <w:b/>
                <w:bCs/>
                <w:i w:val="0"/>
                <w:iCs w:val="0"/>
                <w:color w:val="000000"/>
                <w:kern w:val="0"/>
                <w:sz w:val="24"/>
                <w:szCs w:val="24"/>
                <w:u w:val="none"/>
                <w:lang w:val="en-US" w:eastAsia="zh-CN" w:bidi="ar"/>
              </w:rPr>
              <w:drawing>
                <wp:anchor distT="0" distB="0" distL="114300" distR="114300" simplePos="0" relativeHeight="251659264" behindDoc="0" locked="0" layoutInCell="1" allowOverlap="1">
                  <wp:simplePos x="0" y="0"/>
                  <wp:positionH relativeFrom="column">
                    <wp:posOffset>18415</wp:posOffset>
                  </wp:positionH>
                  <wp:positionV relativeFrom="paragraph">
                    <wp:posOffset>0</wp:posOffset>
                  </wp:positionV>
                  <wp:extent cx="1000760" cy="8890"/>
                  <wp:effectExtent l="0" t="0" r="0" b="0"/>
                  <wp:wrapNone/>
                  <wp:docPr id="6" name="shape4"/>
                  <wp:cNvGraphicFramePr/>
                  <a:graphic xmlns:a="http://schemas.openxmlformats.org/drawingml/2006/main">
                    <a:graphicData uri="http://schemas.openxmlformats.org/drawingml/2006/picture">
                      <pic:pic xmlns:pic="http://schemas.openxmlformats.org/drawingml/2006/picture">
                        <pic:nvPicPr>
                          <pic:cNvPr id="6" name="shape4"/>
                          <pic:cNvPicPr/>
                        </pic:nvPicPr>
                        <pic:blipFill>
                          <a:blip r:embed="rId10"/>
                          <a:stretch>
                            <a:fillRect/>
                          </a:stretch>
                        </pic:blipFill>
                        <pic:spPr>
                          <a:xfrm>
                            <a:off x="0" y="0"/>
                            <a:ext cx="1000760" cy="8890"/>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91" w:type="dxa"/>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说明：</w:t>
            </w:r>
          </w:p>
        </w:tc>
        <w:tc>
          <w:tcPr>
            <w:tcW w:w="260"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2"/>
                <w:szCs w:val="22"/>
                <w:u w:val="none"/>
              </w:rPr>
            </w:pPr>
          </w:p>
        </w:tc>
        <w:tc>
          <w:tcPr>
            <w:tcW w:w="922"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2"/>
                <w:szCs w:val="22"/>
                <w:u w:val="none"/>
              </w:rPr>
            </w:pPr>
          </w:p>
        </w:tc>
        <w:tc>
          <w:tcPr>
            <w:tcW w:w="1035"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2"/>
                <w:szCs w:val="22"/>
                <w:u w:val="none"/>
              </w:rPr>
            </w:pPr>
          </w:p>
        </w:tc>
        <w:tc>
          <w:tcPr>
            <w:tcW w:w="1451"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2"/>
                <w:szCs w:val="22"/>
                <w:u w:val="none"/>
              </w:rPr>
            </w:pPr>
          </w:p>
        </w:tc>
        <w:tc>
          <w:tcPr>
            <w:tcW w:w="1098"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2"/>
                <w:szCs w:val="22"/>
                <w:u w:val="none"/>
              </w:rPr>
            </w:pPr>
          </w:p>
        </w:tc>
        <w:tc>
          <w:tcPr>
            <w:tcW w:w="1275"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2"/>
                <w:szCs w:val="22"/>
                <w:u w:val="none"/>
              </w:rPr>
            </w:pPr>
          </w:p>
        </w:tc>
        <w:tc>
          <w:tcPr>
            <w:tcW w:w="1451" w:type="dxa"/>
            <w:gridSpan w:val="2"/>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2"/>
                <w:szCs w:val="22"/>
                <w:u w:val="none"/>
              </w:rPr>
            </w:pPr>
          </w:p>
        </w:tc>
        <w:tc>
          <w:tcPr>
            <w:tcW w:w="1276" w:type="dxa"/>
            <w:tcBorders>
              <w:top w:val="nil"/>
              <w:left w:val="nil"/>
              <w:bottom w:val="nil"/>
              <w:right w:val="nil"/>
            </w:tcBorders>
            <w:shd w:val="clear" w:color="auto" w:fill="auto"/>
            <w:noWrap/>
            <w:vAlign w:val="bottom"/>
          </w:tcPr>
          <w:p>
            <w:pPr>
              <w:rPr>
                <w:rFonts w:hint="eastAsia" w:ascii="宋体" w:hAnsi="宋体" w:eastAsia="宋体" w:cs="宋体"/>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59" w:type="dxa"/>
            <w:gridSpan w:val="1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MingLiU" w:hAnsi="MingLiU" w:eastAsia="MingLiU" w:cs="MingLiU"/>
                <w:b w:val="0"/>
                <w:bCs w:val="0"/>
                <w:i w:val="0"/>
                <w:iCs w:val="0"/>
                <w:color w:val="000000"/>
                <w:sz w:val="22"/>
                <w:szCs w:val="22"/>
                <w:u w:val="none"/>
              </w:rPr>
            </w:pPr>
            <w:r>
              <w:rPr>
                <w:rFonts w:hint="eastAsia" w:ascii="MingLiU" w:hAnsi="MingLiU" w:eastAsia="MingLiU" w:cs="MingLiU"/>
                <w:b w:val="0"/>
                <w:bCs w:val="0"/>
                <w:i w:val="0"/>
                <w:iCs w:val="0"/>
                <w:color w:val="000000"/>
                <w:kern w:val="0"/>
                <w:sz w:val="22"/>
                <w:szCs w:val="22"/>
                <w:u w:val="none"/>
                <w:lang w:val="en-US" w:eastAsia="zh-CN" w:bidi="ar"/>
              </w:rPr>
              <w:t>1.本表占比制，评估项目以个车为单位评&lt;优&gt;，&lt;良&gt;，&lt;尚可&gt;，&lt;不佳&gt;。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59" w:type="dxa"/>
            <w:gridSpan w:val="1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MingLiU" w:hAnsi="MingLiU" w:eastAsia="MingLiU" w:cs="MingLiU"/>
                <w:b w:val="0"/>
                <w:bCs w:val="0"/>
                <w:i w:val="0"/>
                <w:iCs w:val="0"/>
                <w:color w:val="000000"/>
                <w:sz w:val="22"/>
                <w:szCs w:val="22"/>
                <w:u w:val="none"/>
              </w:rPr>
            </w:pPr>
            <w:r>
              <w:rPr>
                <w:rFonts w:hint="eastAsia" w:ascii="MingLiU" w:hAnsi="MingLiU" w:eastAsia="MingLiU" w:cs="MingLiU"/>
                <w:b w:val="0"/>
                <w:bCs w:val="0"/>
                <w:i w:val="0"/>
                <w:iCs w:val="0"/>
                <w:color w:val="000000"/>
                <w:kern w:val="0"/>
                <w:sz w:val="22"/>
                <w:szCs w:val="22"/>
                <w:u w:val="none"/>
                <w:lang w:val="en-US" w:eastAsia="zh-CN" w:bidi="ar"/>
              </w:rPr>
              <w:t>2.送货准时率：个车当月送货准时率98.0%-100%为优，96.0%-97.9%为良，90.0%-95.9%为尚可，90.0%以下为不佳。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9" w:type="dxa"/>
            <w:gridSpan w:val="1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3.回单及时率：个车当月送货准时率98.0%-100%为优，96.0%-97.9%为良，90.0%-95.9%为尚可，90.0%以下为不佳。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9" w:type="dxa"/>
            <w:gridSpan w:val="1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4.送货准时率、回单及时率采用百分比计算方式，保留小数点后面数值1位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9" w:type="dxa"/>
            <w:gridSpan w:val="1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5.客户满意度：个车当月客户无投诉为“优”，1次为“良”，2次为“尚可”，3次及以上为“不佳”。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9" w:type="dxa"/>
            <w:gridSpan w:val="1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6.司机配合度：个车司机无不配合为“优”，1次不配合为“良”，2次不配合为“尚可”，3次及以上为“不佳”。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9" w:type="dxa"/>
            <w:gridSpan w:val="1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7.事故发生率：个车当月无事故发生为优，无责事故为尚可，其它有责事故为不佳。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0259" w:type="dxa"/>
            <w:gridSpan w:val="1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8.总评：每项优得5分，每项良得4分，每项尚可得3分，每项不佳得0分，合计总分23-25为优，19-22分为良，14-18分为尚可，14分以下为不佳。</w:t>
            </w:r>
          </w:p>
        </w:tc>
      </w:tr>
      <w:bookmarkEnd w:id="0"/>
    </w:tbl>
    <w:p>
      <w:pPr>
        <w:spacing w:line="360" w:lineRule="auto"/>
        <w:rPr>
          <w:rFonts w:hint="eastAsia" w:asciiTheme="minorEastAsia" w:hAnsiTheme="minorEastAsia" w:eastAsiaTheme="minorEastAsia" w:cstheme="minorEastAsia"/>
          <w:color w:val="000000" w:themeColor="text1"/>
          <w14:textFill>
            <w14:solidFill>
              <w14:schemeClr w14:val="tx1"/>
            </w14:solidFill>
          </w14:textFill>
        </w:rPr>
      </w:pPr>
    </w:p>
    <w:p>
      <w:pPr>
        <w:spacing w:line="360" w:lineRule="auto"/>
        <w:rPr>
          <w:rFonts w:hint="eastAsia" w:asciiTheme="minorEastAsia" w:hAnsiTheme="minorEastAsia" w:eastAsiaTheme="minorEastAsia" w:cstheme="minorEastAsia"/>
          <w:color w:val="000000" w:themeColor="text1"/>
          <w14:textFill>
            <w14:solidFill>
              <w14:schemeClr w14:val="tx1"/>
            </w14:solidFill>
          </w14:textFill>
        </w:rPr>
      </w:pPr>
    </w:p>
    <w:p>
      <w:pPr>
        <w:spacing w:line="360" w:lineRule="auto"/>
        <w:rPr>
          <w:rFonts w:hint="eastAsia" w:asciiTheme="minorEastAsia" w:hAnsiTheme="minorEastAsia" w:eastAsiaTheme="minorEastAsia" w:cstheme="minorEastAsia"/>
          <w:color w:val="000000" w:themeColor="text1"/>
          <w14:textFill>
            <w14:solidFill>
              <w14:schemeClr w14:val="tx1"/>
            </w14:solidFill>
          </w14:textFill>
        </w:rPr>
      </w:pPr>
    </w:p>
    <w:p>
      <w:pPr>
        <w:spacing w:line="360" w:lineRule="auto"/>
        <w:rPr>
          <w:rFonts w:hint="eastAsia" w:asciiTheme="minorEastAsia" w:hAnsiTheme="minorEastAsia" w:eastAsiaTheme="minorEastAsia" w:cstheme="minorEastAsia"/>
          <w:color w:val="000000" w:themeColor="text1"/>
          <w14:textFill>
            <w14:solidFill>
              <w14:schemeClr w14:val="tx1"/>
            </w14:solidFill>
          </w14:textFill>
        </w:rPr>
      </w:pPr>
    </w:p>
    <w:p>
      <w:pPr>
        <w:spacing w:line="360" w:lineRule="auto"/>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附件</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四</w:t>
      </w:r>
      <w:r>
        <w:rPr>
          <w:rFonts w:hint="eastAsia" w:asciiTheme="minorEastAsia" w:hAnsiTheme="minorEastAsia" w:eastAsiaTheme="minorEastAsia" w:cstheme="minorEastAsia"/>
          <w:color w:val="000000" w:themeColor="text1"/>
          <w14:textFill>
            <w14:solidFill>
              <w14:schemeClr w14:val="tx1"/>
            </w14:solidFill>
          </w14:textFill>
        </w:rPr>
        <w:t>：投标文件明细</w:t>
      </w:r>
    </w:p>
    <w:p>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投标文件明细</w:t>
      </w:r>
    </w:p>
    <w:p>
      <w:pPr>
        <w:spacing w:line="360" w:lineRule="auto"/>
        <w:rPr>
          <w:rFonts w:hint="eastAsia" w:ascii="宋体" w:hAnsi="宋体" w:eastAsia="宋体" w:cs="宋体"/>
          <w:color w:val="000000"/>
          <w:sz w:val="24"/>
          <w:szCs w:val="24"/>
        </w:rPr>
      </w:pPr>
      <w:r>
        <w:rPr>
          <w:rFonts w:hint="eastAsia" w:ascii="仿宋" w:hAnsi="仿宋" w:eastAsia="仿宋" w:cs="仿宋"/>
          <w:color w:val="000000"/>
          <w:sz w:val="24"/>
          <w:szCs w:val="24"/>
        </w:rPr>
        <w:t>感谢贵司愿意与我司合作，成为我司合格供应商，为了能够顺利开展委托运输业务，我司将会对贵司的资质进行评价，以下为需要提供的资料信息清单：</w:t>
      </w:r>
    </w:p>
    <w:p>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三证合一营业执照副本复印件 （盖公章）</w:t>
      </w:r>
    </w:p>
    <w:p>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道路运营许可证复印件 （盖公章）</w:t>
      </w:r>
    </w:p>
    <w:p>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开票资料（盖公章）</w:t>
      </w:r>
    </w:p>
    <w:p>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承运商自有车辆归属证明、行驶证，要求是有效期内的复印件 （盖公章）</w:t>
      </w:r>
    </w:p>
    <w:p>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法人身份证正反面复印件，签字栏为授权代理人的应再提供一份代理人身份证复印件以及授权委托书（盖公章）</w:t>
      </w:r>
    </w:p>
    <w:p>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上一年度公司财务报表（盖公章）（新成立公司提供上月公司财务报表）  </w:t>
      </w:r>
    </w:p>
    <w:p>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每辆车的第三者责任险、交强险和商业意外险证明（盖公章）</w:t>
      </w:r>
    </w:p>
    <w:p>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公司章程、组织架构、安全管理制度清单、财务管理制度清单等（盖骑缝公章或公章）</w:t>
      </w:r>
    </w:p>
    <w:p>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线路明细询价表（电子版</w:t>
      </w:r>
      <w:r>
        <w:rPr>
          <w:rFonts w:hint="eastAsia" w:ascii="宋体" w:hAnsi="宋体" w:eastAsia="宋体" w:cs="宋体"/>
          <w:color w:val="000000" w:themeColor="text1"/>
          <w:szCs w:val="21"/>
          <w:lang w:val="en-US" w:eastAsia="zh-CN"/>
          <w14:textFill>
            <w14:solidFill>
              <w14:schemeClr w14:val="tx1"/>
            </w14:solidFill>
          </w14:textFill>
        </w:rPr>
        <w:t>）</w:t>
      </w:r>
    </w:p>
    <w:p>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商务评分内保障性方案输出PPT（电子版）</w:t>
      </w:r>
    </w:p>
    <w:p/>
    <w:p/>
    <w:p/>
    <w:p/>
    <w:p/>
    <w:p/>
    <w:p>
      <w:pPr>
        <w:spacing w:after="312" w:afterLines="100"/>
        <w:jc w:val="center"/>
        <w:rPr>
          <w:rFonts w:eastAsia="隶书"/>
          <w:b/>
          <w:bCs/>
          <w:sz w:val="52"/>
          <w:szCs w:val="52"/>
        </w:rPr>
      </w:pPr>
    </w:p>
    <w:p>
      <w:pPr>
        <w:spacing w:after="312" w:afterLines="100"/>
        <w:jc w:val="center"/>
        <w:rPr>
          <w:rFonts w:eastAsia="隶书"/>
          <w:b/>
          <w:bCs/>
          <w:sz w:val="52"/>
          <w:szCs w:val="52"/>
        </w:rPr>
      </w:pPr>
    </w:p>
    <w:p>
      <w:pPr>
        <w:tabs>
          <w:tab w:val="left" w:pos="2283"/>
        </w:tabs>
        <w:spacing w:after="312" w:afterLines="100"/>
        <w:jc w:val="left"/>
        <w:rPr>
          <w:rFonts w:hint="eastAsia" w:eastAsia="隶书"/>
          <w:b/>
          <w:bCs/>
          <w:sz w:val="52"/>
          <w:szCs w:val="52"/>
          <w:lang w:eastAsia="zh-CN"/>
        </w:rPr>
      </w:pPr>
    </w:p>
    <w:p>
      <w:pPr>
        <w:tabs>
          <w:tab w:val="left" w:pos="2283"/>
        </w:tabs>
        <w:spacing w:after="312" w:afterLines="100"/>
        <w:jc w:val="left"/>
        <w:rPr>
          <w:rFonts w:hint="eastAsia" w:eastAsia="隶书"/>
          <w:b/>
          <w:bCs/>
          <w:sz w:val="52"/>
          <w:szCs w:val="52"/>
          <w:lang w:eastAsia="zh-CN"/>
        </w:rPr>
      </w:pPr>
    </w:p>
    <w:p>
      <w:pPr>
        <w:spacing w:after="312" w:afterLines="100"/>
        <w:jc w:val="center"/>
        <w:rPr>
          <w:rFonts w:hint="eastAsia" w:asciiTheme="majorEastAsia" w:hAnsiTheme="majorEastAsia" w:eastAsiaTheme="majorEastAsia" w:cstheme="majorEastAsia"/>
          <w:b/>
          <w:bCs/>
          <w:sz w:val="48"/>
          <w:szCs w:val="48"/>
        </w:rPr>
      </w:pPr>
      <w:r>
        <w:rPr>
          <w:rFonts w:hint="eastAsia" w:asciiTheme="majorEastAsia" w:hAnsiTheme="majorEastAsia" w:eastAsiaTheme="majorEastAsia" w:cstheme="majorEastAsia"/>
          <w:b/>
          <w:bCs/>
          <w:sz w:val="48"/>
          <w:szCs w:val="48"/>
        </w:rPr>
        <w:t>授权委托书</w:t>
      </w:r>
    </w:p>
    <w:p>
      <w:pPr>
        <w:pStyle w:val="39"/>
        <w:widowControl/>
        <w:spacing w:before="156" w:beforeLines="50" w:after="156" w:afterLines="50"/>
        <w:ind w:firstLine="482"/>
        <w:jc w:val="left"/>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本单位现正式授权</w:t>
      </w:r>
      <w:r>
        <w:rPr>
          <w:rFonts w:hint="eastAsia" w:asciiTheme="majorEastAsia" w:hAnsiTheme="majorEastAsia" w:eastAsiaTheme="majorEastAsia" w:cstheme="majorEastAsia"/>
          <w:sz w:val="20"/>
          <w:szCs w:val="20"/>
          <w:u w:val="single"/>
        </w:rPr>
        <w:t xml:space="preserve">             </w:t>
      </w:r>
      <w:r>
        <w:rPr>
          <w:rFonts w:hint="eastAsia" w:asciiTheme="majorEastAsia" w:hAnsiTheme="majorEastAsia" w:eastAsiaTheme="majorEastAsia" w:cstheme="majorEastAsia"/>
          <w:sz w:val="20"/>
          <w:szCs w:val="20"/>
        </w:rPr>
        <w:t>先生/女士,身份证号码:＿＿＿＿＿＿＿＿＿＿＿，手机号：</w:t>
      </w:r>
      <w:r>
        <w:rPr>
          <w:rFonts w:hint="eastAsia" w:asciiTheme="majorEastAsia" w:hAnsiTheme="majorEastAsia" w:eastAsiaTheme="majorEastAsia" w:cstheme="majorEastAsia"/>
          <w:sz w:val="20"/>
          <w:szCs w:val="20"/>
          <w:u w:val="single"/>
        </w:rPr>
        <w:t xml:space="preserve">                 </w:t>
      </w:r>
      <w:r>
        <w:rPr>
          <w:rFonts w:hint="eastAsia" w:asciiTheme="majorEastAsia" w:hAnsiTheme="majorEastAsia" w:eastAsiaTheme="majorEastAsia" w:cstheme="majorEastAsia"/>
          <w:sz w:val="20"/>
          <w:szCs w:val="20"/>
        </w:rPr>
        <w:t>，代表本单位全权处理本单位与</w:t>
      </w:r>
      <w:r>
        <w:rPr>
          <w:rFonts w:hint="eastAsia" w:asciiTheme="majorEastAsia" w:hAnsiTheme="majorEastAsia" w:eastAsiaTheme="majorEastAsia" w:cstheme="majorEastAsia"/>
          <w:sz w:val="20"/>
          <w:szCs w:val="20"/>
          <w:lang w:val="en-US" w:eastAsia="zh-CN"/>
        </w:rPr>
        <w:t>苏州康诚仓储有限</w:t>
      </w:r>
      <w:r>
        <w:rPr>
          <w:rFonts w:hint="eastAsia" w:asciiTheme="majorEastAsia" w:hAnsiTheme="majorEastAsia" w:eastAsiaTheme="majorEastAsia" w:cstheme="majorEastAsia"/>
          <w:sz w:val="20"/>
          <w:szCs w:val="20"/>
        </w:rPr>
        <w:t>公司的所有业务操作。</w:t>
      </w:r>
    </w:p>
    <w:p>
      <w:pPr>
        <w:pStyle w:val="39"/>
        <w:widowControl/>
        <w:spacing w:before="156" w:beforeLines="50" w:after="156" w:afterLines="50"/>
        <w:ind w:firstLine="482"/>
        <w:jc w:val="left"/>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本单位承诺：填写的有关内容,提供的有关资料真实有效。受托人做出的一切上述业务的操作,都是本单位意愿之体现,均视为本单位的行为,由本单位对此负全部责任,无任何异议。</w:t>
      </w:r>
    </w:p>
    <w:tbl>
      <w:tblPr>
        <w:tblStyle w:val="46"/>
        <w:tblW w:w="10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3" w:hRule="atLeast"/>
          <w:jc w:val="center"/>
        </w:trPr>
        <w:tc>
          <w:tcPr>
            <w:tcW w:w="10020" w:type="dxa"/>
            <w:vAlign w:val="center"/>
          </w:tcPr>
          <w:p>
            <w:pPr>
              <w:pStyle w:val="39"/>
              <w:widowControl/>
              <w:spacing w:before="156" w:beforeLines="50" w:after="156" w:afterLines="50"/>
              <w:jc w:val="cente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请在此处粘贴受托人身份证的正、反面复印件。</w:t>
            </w:r>
          </w:p>
        </w:tc>
      </w:tr>
    </w:tbl>
    <w:p>
      <w:pPr>
        <w:pStyle w:val="39"/>
        <w:spacing w:before="312" w:beforeLines="100" w:after="156" w:afterLines="50"/>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                               委托单位（盖公章）：  </w:t>
      </w:r>
    </w:p>
    <w:p>
      <w:pPr>
        <w:pStyle w:val="39"/>
        <w:spacing w:before="156" w:beforeLines="50" w:after="156" w:afterLines="50"/>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                                             </w:t>
      </w:r>
    </w:p>
    <w:p>
      <w:pPr>
        <w:pStyle w:val="39"/>
        <w:spacing w:before="156" w:beforeLines="50" w:after="156" w:afterLines="50"/>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0"/>
          <w:szCs w:val="20"/>
        </w:rPr>
        <w:t xml:space="preserve">                 </w:t>
      </w:r>
      <w:r>
        <w:rPr>
          <w:rFonts w:hint="eastAsia" w:asciiTheme="majorEastAsia" w:hAnsiTheme="majorEastAsia" w:eastAsiaTheme="majorEastAsia" w:cstheme="majorEastAsia"/>
          <w:sz w:val="20"/>
          <w:szCs w:val="36"/>
        </w:rPr>
        <w:t>法定代表人或有权签字人</w:t>
      </w:r>
      <w:r>
        <w:rPr>
          <w:rFonts w:hint="eastAsia" w:asciiTheme="majorEastAsia" w:hAnsiTheme="majorEastAsia" w:eastAsiaTheme="majorEastAsia" w:cstheme="majorEastAsia"/>
          <w:sz w:val="20"/>
          <w:szCs w:val="20"/>
        </w:rPr>
        <w:t>（签字</w:t>
      </w:r>
      <w:r>
        <w:rPr>
          <w:rFonts w:hint="eastAsia" w:asciiTheme="majorEastAsia" w:hAnsiTheme="majorEastAsia" w:eastAsiaTheme="majorEastAsia" w:cstheme="majorEastAsia"/>
          <w:sz w:val="20"/>
          <w:szCs w:val="36"/>
        </w:rPr>
        <w:t>或签章）：</w:t>
      </w:r>
    </w:p>
    <w:p>
      <w:pPr>
        <w:pStyle w:val="39"/>
        <w:spacing w:before="156" w:beforeLines="50" w:after="156" w:afterLines="50"/>
        <w:jc w:val="left"/>
        <w:rPr>
          <w:rFonts w:hint="eastAsia" w:asciiTheme="majorEastAsia" w:hAnsiTheme="majorEastAsia" w:eastAsiaTheme="majorEastAsia" w:cstheme="majorEastAsia"/>
          <w:sz w:val="21"/>
          <w:szCs w:val="21"/>
        </w:rPr>
      </w:pPr>
    </w:p>
    <w:p>
      <w:pPr>
        <w:pStyle w:val="39"/>
        <w:spacing w:before="156" w:beforeLines="50" w:after="156" w:afterLines="50"/>
        <w:jc w:val="left"/>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                                            </w:t>
      </w:r>
      <w:r>
        <w:rPr>
          <w:rFonts w:hint="eastAsia" w:asciiTheme="majorEastAsia" w:hAnsiTheme="majorEastAsia" w:eastAsiaTheme="majorEastAsia" w:cstheme="majorEastAsia"/>
          <w:sz w:val="20"/>
          <w:szCs w:val="36"/>
        </w:rPr>
        <w:t>申请日期：</w:t>
      </w:r>
      <w:r>
        <w:rPr>
          <w:rFonts w:hint="eastAsia" w:asciiTheme="majorEastAsia" w:hAnsiTheme="majorEastAsia" w:eastAsiaTheme="majorEastAsia" w:cstheme="majorEastAsia"/>
          <w:sz w:val="20"/>
          <w:szCs w:val="20"/>
        </w:rPr>
        <w:t xml:space="preserve">               </w:t>
      </w:r>
    </w:p>
    <w:p>
      <w:pPr>
        <w:pStyle w:val="39"/>
        <w:wordWrap w:val="0"/>
        <w:spacing w:before="156" w:beforeLines="50" w:after="156" w:afterLines="50"/>
        <w:ind w:firstLine="420"/>
        <w:jc w:val="right"/>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 </w:t>
      </w:r>
    </w:p>
    <w:p>
      <w:pPr>
        <w:pStyle w:val="39"/>
        <w:spacing w:before="156" w:beforeLines="50" w:after="156" w:afterLines="50"/>
        <w:jc w:val="cente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以上内容均为必填，请完整填写并签字盖章</w:t>
      </w:r>
    </w:p>
    <w:p/>
    <w:p/>
    <w:p/>
    <w:p/>
    <w:p/>
    <w:p/>
    <w:p/>
    <w:p/>
    <w:p>
      <w:pPr>
        <w:jc w:val="center"/>
        <w:rPr>
          <w:rFonts w:hint="eastAsia" w:ascii="宋体" w:hAnsi="宋体" w:eastAsia="宋体" w:cs="宋体"/>
          <w:b/>
          <w:sz w:val="32"/>
          <w:szCs w:val="32"/>
        </w:rPr>
      </w:pPr>
      <w:r>
        <w:rPr>
          <w:rFonts w:hint="eastAsia" w:ascii="宋体" w:hAnsi="宋体" w:eastAsia="宋体" w:cs="宋体"/>
          <w:b/>
          <w:sz w:val="32"/>
          <w:szCs w:val="32"/>
        </w:rPr>
        <w:t>车辆归属证明</w:t>
      </w:r>
    </w:p>
    <w:p>
      <w:pPr>
        <w:jc w:val="center"/>
        <w:rPr>
          <w:rFonts w:hint="eastAsia" w:ascii="宋体" w:hAnsi="宋体" w:eastAsia="宋体" w:cs="宋体"/>
          <w:b/>
          <w:sz w:val="32"/>
          <w:szCs w:val="32"/>
        </w:rPr>
      </w:pPr>
    </w:p>
    <w:p>
      <w:pPr>
        <w:rPr>
          <w:rFonts w:hint="eastAsia" w:ascii="宋体" w:hAnsi="宋体" w:eastAsia="宋体" w:cs="宋体"/>
          <w:sz w:val="28"/>
          <w:szCs w:val="28"/>
        </w:rPr>
      </w:pPr>
      <w:r>
        <w:rPr>
          <w:rFonts w:hint="eastAsia" w:ascii="宋体" w:hAnsi="宋体" w:eastAsia="宋体" w:cs="宋体"/>
          <w:sz w:val="28"/>
          <w:szCs w:val="28"/>
        </w:rPr>
        <w:t>致</w:t>
      </w:r>
      <w:r>
        <w:rPr>
          <w:rFonts w:hint="eastAsia" w:ascii="宋体" w:hAnsi="宋体" w:cs="宋体"/>
          <w:sz w:val="28"/>
          <w:szCs w:val="28"/>
          <w:lang w:val="en-US" w:eastAsia="zh-CN"/>
        </w:rPr>
        <w:t>苏州康诚仓储</w:t>
      </w:r>
      <w:r>
        <w:rPr>
          <w:rFonts w:hint="eastAsia" w:ascii="宋体" w:hAnsi="宋体" w:eastAsia="宋体" w:cs="宋体"/>
          <w:sz w:val="28"/>
          <w:szCs w:val="28"/>
        </w:rPr>
        <w:t>有限公司：</w:t>
      </w:r>
    </w:p>
    <w:p>
      <w:pPr>
        <w:rPr>
          <w:rFonts w:hint="eastAsia" w:ascii="宋体" w:hAnsi="宋体" w:eastAsia="宋体" w:cs="宋体"/>
          <w:kern w:val="0"/>
          <w:sz w:val="24"/>
        </w:rPr>
      </w:pPr>
      <w:r>
        <w:rPr>
          <w:rFonts w:hint="eastAsia" w:ascii="宋体" w:hAnsi="宋体" w:eastAsia="宋体" w:cs="宋体"/>
          <w:sz w:val="28"/>
          <w:szCs w:val="28"/>
        </w:rPr>
        <w:t xml:space="preserve">     兹有车牌号为：</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的车辆，车辆行驶证上显示的车辆所有人为：   </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 xml:space="preserve">     现予以确认：</w:t>
      </w:r>
      <w:r>
        <w:rPr>
          <w:rFonts w:hint="eastAsia" w:ascii="宋体" w:hAnsi="宋体" w:eastAsia="宋体" w:cs="宋体"/>
          <w:sz w:val="28"/>
          <w:szCs w:val="28"/>
          <w:u w:val="single"/>
        </w:rPr>
        <w:t xml:space="preserve">                                     </w:t>
      </w:r>
      <w:r>
        <w:rPr>
          <w:rFonts w:hint="eastAsia" w:ascii="宋体" w:hAnsi="宋体" w:eastAsia="宋体" w:cs="宋体"/>
          <w:sz w:val="28"/>
          <w:szCs w:val="28"/>
        </w:rPr>
        <w:t>公司，为该车辆的所有权人。</w:t>
      </w:r>
    </w:p>
    <w:p>
      <w:pPr>
        <w:ind w:firstLine="700" w:firstLineChars="250"/>
        <w:rPr>
          <w:rFonts w:hint="eastAsia" w:ascii="宋体" w:hAnsi="宋体" w:eastAsia="宋体" w:cs="宋体"/>
          <w:sz w:val="28"/>
          <w:szCs w:val="28"/>
        </w:rPr>
      </w:pPr>
      <w:r>
        <w:rPr>
          <w:rFonts w:hint="eastAsia" w:ascii="宋体" w:hAnsi="宋体" w:eastAsia="宋体" w:cs="宋体"/>
          <w:sz w:val="28"/>
          <w:szCs w:val="28"/>
        </w:rPr>
        <w:t>我司另有书面通知前，本函持续有效。</w:t>
      </w:r>
    </w:p>
    <w:p>
      <w:pPr>
        <w:ind w:firstLine="560" w:firstLineChars="200"/>
        <w:rPr>
          <w:rFonts w:hint="eastAsia" w:ascii="宋体" w:hAnsi="宋体" w:eastAsia="宋体" w:cs="宋体"/>
          <w:sz w:val="28"/>
          <w:szCs w:val="28"/>
        </w:rPr>
      </w:pPr>
    </w:p>
    <w:p>
      <w:pPr>
        <w:ind w:right="560"/>
        <w:jc w:val="center"/>
        <w:rPr>
          <w:rFonts w:hint="eastAsia" w:ascii="宋体" w:hAnsi="宋体" w:eastAsia="宋体" w:cs="宋体"/>
          <w:sz w:val="28"/>
          <w:szCs w:val="28"/>
        </w:rPr>
      </w:pPr>
      <w:r>
        <w:rPr>
          <w:rFonts w:hint="eastAsia" w:ascii="宋体" w:hAnsi="宋体" w:eastAsia="宋体" w:cs="宋体"/>
          <w:sz w:val="28"/>
          <w:szCs w:val="28"/>
        </w:rPr>
        <w:t xml:space="preserve">                            公司名称（公章）：</w:t>
      </w:r>
      <w:r>
        <w:rPr>
          <w:rFonts w:hint="eastAsia" w:ascii="宋体" w:hAnsi="宋体" w:eastAsia="宋体" w:cs="宋体"/>
          <w:b/>
          <w:color w:val="A6A6A6"/>
          <w:szCs w:val="21"/>
        </w:rPr>
        <w:t>证上显示的公司</w:t>
      </w:r>
    </w:p>
    <w:p>
      <w:pPr>
        <w:ind w:right="560"/>
        <w:jc w:val="center"/>
        <w:rPr>
          <w:rFonts w:hint="eastAsia" w:ascii="宋体" w:hAnsi="宋体" w:eastAsia="宋体" w:cs="宋体"/>
          <w:b/>
          <w:sz w:val="44"/>
          <w:szCs w:val="44"/>
        </w:rPr>
      </w:pPr>
      <w:r>
        <w:rPr>
          <w:rFonts w:hint="eastAsia" w:ascii="宋体" w:hAnsi="宋体" w:eastAsia="宋体" w:cs="宋体"/>
          <w:sz w:val="28"/>
          <w:szCs w:val="28"/>
        </w:rPr>
        <w:t xml:space="preserve">        日期：</w:t>
      </w:r>
    </w:p>
    <w:p>
      <w:pPr>
        <w:rPr>
          <w:rFonts w:hint="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spacing w:after="312" w:afterLines="100"/>
        <w:jc w:val="both"/>
        <w:rPr>
          <w:rFonts w:hint="eastAsia" w:asciiTheme="minorEastAsia" w:hAnsiTheme="minorEastAsia" w:eastAsiaTheme="minorEastAsia" w:cstheme="minorEastAsia"/>
          <w:b/>
          <w:bCs/>
          <w:sz w:val="52"/>
          <w:szCs w:val="52"/>
        </w:rPr>
      </w:pPr>
    </w:p>
    <w:p>
      <w:pPr>
        <w:rPr>
          <w:rFonts w:hint="eastAsia" w:asciiTheme="minorEastAsia" w:hAnsiTheme="minorEastAsia" w:eastAsiaTheme="minorEastAsia" w:cstheme="minorEastAsia"/>
          <w:color w:val="000000" w:themeColor="text1"/>
          <w14:textFill>
            <w14:solidFill>
              <w14:schemeClr w14:val="tx1"/>
            </w14:solidFill>
          </w14:textFill>
        </w:rPr>
      </w:pPr>
    </w:p>
    <w:sectPr>
      <w:headerReference r:id="rId3" w:type="default"/>
      <w:footerReference r:id="rId4" w:type="default"/>
      <w:pgSz w:w="11906" w:h="16838"/>
      <w:pgMar w:top="1440" w:right="1247" w:bottom="1440" w:left="1247" w:header="850" w:footer="992" w:gutter="0"/>
      <w:cols w:space="72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方正黑体简体">
    <w:altName w:val="汉仪中黑KW"/>
    <w:panose1 w:val="00000000000000000000"/>
    <w:charset w:val="86"/>
    <w:family w:val="auto"/>
    <w:pitch w:val="default"/>
    <w:sig w:usb0="00000000" w:usb1="00000000" w:usb2="00000012" w:usb3="00000000" w:csb0="00040001" w:csb1="00000000"/>
  </w:font>
  <w:font w:name="楷体_GB2312">
    <w:altName w:val="汉仪楷体KW"/>
    <w:panose1 w:val="00000000000000000000"/>
    <w:charset w:val="86"/>
    <w:family w:val="swiss"/>
    <w:pitch w:val="default"/>
    <w:sig w:usb0="00000000" w:usb1="00000000" w:usb2="00000000" w:usb3="00000000" w:csb0="00040000" w:csb1="00000000"/>
  </w:font>
  <w:font w:name="仿宋_GB2312">
    <w:altName w:val="汉仪仿宋KW"/>
    <w:panose1 w:val="00000000000000000000"/>
    <w:charset w:val="86"/>
    <w:family w:val="decorative"/>
    <w:pitch w:val="default"/>
    <w:sig w:usb0="00000000" w:usb1="00000000" w:usb2="00000000" w:usb3="00000000" w:csb0="00040000" w:csb1="00000000"/>
  </w:font>
  <w:font w:name="Cambria">
    <w:altName w:val="Georgia"/>
    <w:panose1 w:val="02040503050406030204"/>
    <w:charset w:val="00"/>
    <w:family w:val="roman"/>
    <w:pitch w:val="default"/>
    <w:sig w:usb0="00000000" w:usb1="00000000" w:usb2="02000000" w:usb3="00000000" w:csb0="2000019F" w:csb1="00000000"/>
  </w:font>
  <w:font w:name="Verdana">
    <w:panose1 w:val="020B0604030504040204"/>
    <w:charset w:val="00"/>
    <w:family w:val="swiss"/>
    <w:pitch w:val="default"/>
    <w:sig w:usb0="A10006FF" w:usb1="4000205B" w:usb2="00000010" w:usb3="00000000" w:csb0="2000019F" w:csb1="00000000"/>
  </w:font>
  <w:font w:name="Consolas">
    <w:altName w:val="Liberation Sans Narrow"/>
    <w:panose1 w:val="020B0609020204030204"/>
    <w:charset w:val="00"/>
    <w:family w:val="modern"/>
    <w:pitch w:val="default"/>
    <w:sig w:usb0="00000000" w:usb1="00000000" w:usb2="00000001" w:usb3="00000000" w:csb0="6000019F" w:csb1="DFD70000"/>
  </w:font>
  <w:font w:name="Tahoma">
    <w:altName w:val="Verdana"/>
    <w:panose1 w:val="020B0604030504040204"/>
    <w:charset w:val="00"/>
    <w:family w:val="swiss"/>
    <w:pitch w:val="default"/>
    <w:sig w:usb0="00000000" w:usb1="00000000" w:usb2="00000029" w:usb3="00000000" w:csb0="200101FF" w:csb1="20280000"/>
  </w:font>
  <w:font w:name="E-F1">
    <w:altName w:val="汉仪书宋二KW"/>
    <w:panose1 w:val="00000000000000000000"/>
    <w:charset w:val="81"/>
    <w:family w:val="auto"/>
    <w:pitch w:val="default"/>
    <w:sig w:usb0="00000000" w:usb1="00000000" w:usb2="00000033" w:usb3="00000000" w:csb0="00080000" w:csb1="00000000"/>
  </w:font>
  <w:font w:name="长城仿宋">
    <w:altName w:val="汉仪仿宋KW"/>
    <w:panose1 w:val="00000000000000000000"/>
    <w:charset w:val="86"/>
    <w:family w:val="auto"/>
    <w:pitch w:val="default"/>
    <w:sig w:usb0="00000000" w:usb1="00000000" w:usb2="00000010" w:usb3="00000000" w:csb0="00040000" w:csb1="00000000"/>
  </w:font>
  <w:font w:name="方正仿宋_GBK">
    <w:altName w:val="汉仪仿宋KW"/>
    <w:panose1 w:val="00000000000000000000"/>
    <w:charset w:val="86"/>
    <w:family w:val="auto"/>
    <w:pitch w:val="default"/>
    <w:sig w:usb0="00000000" w:usb1="00000000" w:usb2="00082016" w:usb3="00000000" w:csb0="00040001" w:csb1="00000000"/>
  </w:font>
  <w:font w:name="等线">
    <w:altName w:val="汉仪中等线KW"/>
    <w:panose1 w:val="02010600030101010101"/>
    <w:charset w:val="86"/>
    <w:family w:val="auto"/>
    <w:pitch w:val="default"/>
    <w:sig w:usb0="00000000" w:usb1="00000000" w:usb2="00000016" w:usb3="00000000" w:csb0="0004000F" w:csb1="00000000"/>
  </w:font>
  <w:font w:name="微软雅黑">
    <w:altName w:val="汉仪旗黑KW 55S"/>
    <w:panose1 w:val="020B0503020204020204"/>
    <w:charset w:val="86"/>
    <w:family w:val="swiss"/>
    <w:pitch w:val="default"/>
    <w:sig w:usb0="00000000" w:usb1="00000000" w:usb2="00000016" w:usb3="00000000" w:csb0="0004001F" w:csb1="00000000"/>
  </w:font>
  <w:font w:name="Wingdings 2">
    <w:altName w:val="Kingsoft Mark"/>
    <w:panose1 w:val="05020102010507070707"/>
    <w:charset w:val="02"/>
    <w:family w:val="roman"/>
    <w:pitch w:val="default"/>
    <w:sig w:usb0="00000000" w:usb1="00000000" w:usb2="00000000" w:usb3="00000000" w:csb0="80000000" w:csb1="00000000"/>
  </w:font>
  <w:font w:name="MingLiU">
    <w:altName w:val="汉仪书宋二KW"/>
    <w:panose1 w:val="02020509000000000000"/>
    <w:charset w:val="88"/>
    <w:family w:val="auto"/>
    <w:pitch w:val="default"/>
    <w:sig w:usb0="00000000" w:usb1="00000000" w:usb2="00000016" w:usb3="00000000" w:csb0="00100001" w:csb1="00000000"/>
  </w:font>
  <w:font w:name="仿宋">
    <w:altName w:val="汉仪仿宋KW"/>
    <w:panose1 w:val="02010609060101010101"/>
    <w:charset w:val="86"/>
    <w:family w:val="auto"/>
    <w:pitch w:val="default"/>
    <w:sig w:usb0="00000000" w:usb1="00000000" w:usb2="00000016" w:usb3="00000000" w:csb0="00040001" w:csb1="00000000"/>
  </w:font>
  <w:font w:name="隶书">
    <w:altName w:val="汉仪书宋二KW"/>
    <w:panose1 w:val="02010509060101010101"/>
    <w:charset w:val="86"/>
    <w:family w:val="modern"/>
    <w:pitch w:val="default"/>
    <w:sig w:usb0="00000000" w:usb1="00000000" w:usb2="00000000" w:usb3="00000000" w:csb0="00040000" w:csb1="00000000"/>
  </w:font>
  <w:font w:name="汉仪楷体KW">
    <w:panose1 w:val="00020600040101010101"/>
    <w:charset w:val="86"/>
    <w:family w:val="auto"/>
    <w:pitch w:val="default"/>
    <w:sig w:usb0="A00002BF" w:usb1="18EF7CFA" w:usb2="00000016" w:usb3="00000000" w:csb0="00040000" w:csb1="00000000"/>
  </w:font>
  <w:font w:name="汉仪仿宋KW">
    <w:panose1 w:val="00020600040101010101"/>
    <w:charset w:val="86"/>
    <w:family w:val="auto"/>
    <w:pitch w:val="default"/>
    <w:sig w:usb0="A00002BF" w:usb1="18EF7CFA" w:usb2="00000016" w:usb3="00000000" w:csb0="00040000" w:csb1="00000000"/>
  </w:font>
  <w:font w:name="Georgia">
    <w:panose1 w:val="02040502050405020303"/>
    <w:charset w:val="00"/>
    <w:family w:val="auto"/>
    <w:pitch w:val="default"/>
    <w:sig w:usb0="00000287" w:usb1="00000000" w:usb2="00000000" w:usb3="00000000" w:csb0="2000009F" w:csb1="00000000"/>
  </w:font>
  <w:font w:name="Liberation Sans Narrow">
    <w:panose1 w:val="020B0606020202030204"/>
    <w:charset w:val="00"/>
    <w:family w:val="auto"/>
    <w:pitch w:val="default"/>
    <w:sig w:usb0="A00002AF" w:usb1="500078FB" w:usb2="00000000" w:usb3="00000000" w:csb0="6000009F" w:csb1="DFD70000"/>
  </w:font>
  <w:font w:name="汉仪中等线KW">
    <w:panose1 w:val="01010104010101010101"/>
    <w:charset w:val="86"/>
    <w:family w:val="auto"/>
    <w:pitch w:val="default"/>
    <w:sig w:usb0="800002BF" w:usb1="004F7CFA" w:usb2="00000000" w:usb3="00000000" w:csb0="00040001" w:csb1="00000000"/>
  </w:font>
  <w:font w:name="汉仪旗黑KW 55S">
    <w:panose1 w:val="00020600040101010101"/>
    <w:charset w:val="86"/>
    <w:family w:val="auto"/>
    <w:pitch w:val="default"/>
    <w:sig w:usb0="A00002BF" w:usb1="3ACF7CFA" w:usb2="00000016" w:usb3="00000000" w:csb0="0004009F" w:csb1="DFD70000"/>
  </w:font>
  <w:font w:name="Kingsoft Mark">
    <w:panose1 w:val="05030102010509060703"/>
    <w:charset w:val="00"/>
    <w:family w:val="auto"/>
    <w:pitch w:val="default"/>
    <w:sig w:usb0="00000000" w:usb1="00000000" w:usb2="00000000" w:usb3="00000000" w:csb0="80000000" w:csb1="00000000"/>
  </w:font>
  <w:font w:name="DejaVu Sans">
    <w:panose1 w:val="020B0606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right"/>
    </w:pPr>
    <w:r>
      <w:rPr>
        <w:rFonts w:hint="eastAsia"/>
        <w:lang w:eastAsia="zh-CN"/>
      </w:rPr>
      <w:t>苏州康诚仓储有限公司干线运输</w:t>
    </w:r>
    <w:r>
      <w:rPr>
        <w:rFonts w:hint="eastAsia"/>
      </w:rPr>
      <w:t>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ind w:left="425" w:hanging="425"/>
      </w:pPr>
      <w:rPr>
        <w:rFonts w:hint="eastAsia" w:ascii="宋体" w:hAnsi="宋体" w:eastAsia="宋体"/>
        <w:b/>
        <w:sz w:val="28"/>
      </w:rPr>
    </w:lvl>
    <w:lvl w:ilvl="1" w:tentative="0">
      <w:start w:val="1"/>
      <w:numFmt w:val="decimal"/>
      <w:pStyle w:val="43"/>
      <w:lvlText w:val="%1.%2"/>
      <w:lvlJc w:val="left"/>
      <w:pPr>
        <w:ind w:left="850" w:hanging="425"/>
      </w:pPr>
      <w:rPr>
        <w:rFonts w:hint="eastAsia" w:eastAsia="宋体"/>
        <w:b/>
        <w:i w:val="0"/>
        <w:sz w:val="24"/>
      </w:rPr>
    </w:lvl>
    <w:lvl w:ilvl="2" w:tentative="0">
      <w:start w:val="1"/>
      <w:numFmt w:val="decimal"/>
      <w:pStyle w:val="110"/>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1">
    <w:nsid w:val="0000000C"/>
    <w:multiLevelType w:val="multilevel"/>
    <w:tmpl w:val="0000000C"/>
    <w:lvl w:ilvl="0" w:tentative="0">
      <w:start w:val="1"/>
      <w:numFmt w:val="decimal"/>
      <w:lvlText w:val="%1"/>
      <w:lvlJc w:val="left"/>
      <w:pPr>
        <w:tabs>
          <w:tab w:val="left" w:pos="432"/>
        </w:tabs>
        <w:ind w:left="432" w:hanging="432"/>
      </w:pPr>
      <w:rPr>
        <w:rFonts w:hint="eastAsia"/>
      </w:rPr>
    </w:lvl>
    <w:lvl w:ilvl="1" w:tentative="0">
      <w:start w:val="1"/>
      <w:numFmt w:val="decimal"/>
      <w:pStyle w:val="89"/>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5CC020D"/>
    <w:multiLevelType w:val="multilevel"/>
    <w:tmpl w:val="05CC020D"/>
    <w:lvl w:ilvl="0" w:tentative="0">
      <w:start w:val="1"/>
      <w:numFmt w:val="decimal"/>
      <w:lvlText w:val="%1."/>
      <w:lvlJc w:val="left"/>
      <w:pPr>
        <w:ind w:left="785" w:hanging="360"/>
      </w:pPr>
      <w:rPr>
        <w:rFonts w:hint="default"/>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3">
    <w:nsid w:val="079C120C"/>
    <w:multiLevelType w:val="multilevel"/>
    <w:tmpl w:val="079C120C"/>
    <w:lvl w:ilvl="0" w:tentative="0">
      <w:start w:val="1"/>
      <w:numFmt w:val="decimal"/>
      <w:pStyle w:val="200"/>
      <w:suff w:val="space"/>
      <w:lvlText w:val="%1"/>
      <w:lvlJc w:val="left"/>
      <w:pPr>
        <w:tabs>
          <w:tab w:val="left" w:pos="357"/>
        </w:tabs>
        <w:ind w:left="357" w:hanging="357"/>
      </w:pPr>
      <w:rPr>
        <w:b/>
      </w:rPr>
    </w:lvl>
    <w:lvl w:ilvl="1" w:tentative="0">
      <w:start w:val="1"/>
      <w:numFmt w:val="decimal"/>
      <w:pStyle w:val="204"/>
      <w:suff w:val="space"/>
      <w:lvlText w:val="%1.%2"/>
      <w:lvlJc w:val="left"/>
      <w:pPr>
        <w:tabs>
          <w:tab w:val="left" w:pos="357"/>
        </w:tabs>
        <w:ind w:left="357" w:hanging="357"/>
      </w:pPr>
      <w:rPr>
        <w:b/>
      </w:rPr>
    </w:lvl>
    <w:lvl w:ilvl="2" w:tentative="0">
      <w:start w:val="1"/>
      <w:numFmt w:val="decimal"/>
      <w:pStyle w:val="206"/>
      <w:suff w:val="space"/>
      <w:lvlText w:val="%1.%2.%3"/>
      <w:lvlJc w:val="left"/>
      <w:pPr>
        <w:tabs>
          <w:tab w:val="left" w:pos="357"/>
        </w:tabs>
        <w:ind w:left="357" w:hanging="357"/>
      </w:pPr>
      <w:rPr>
        <w:b/>
      </w:rPr>
    </w:lvl>
    <w:lvl w:ilvl="3" w:tentative="0">
      <w:start w:val="1"/>
      <w:numFmt w:val="decimal"/>
      <w:suff w:val="space"/>
      <w:lvlText w:val="%1.%2.%3.%4"/>
      <w:lvlJc w:val="left"/>
      <w:pPr>
        <w:tabs>
          <w:tab w:val="left" w:pos="357"/>
        </w:tabs>
        <w:ind w:left="357" w:hanging="357"/>
      </w:pPr>
      <w:rPr>
        <w:b/>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4">
    <w:nsid w:val="370328B2"/>
    <w:multiLevelType w:val="multilevel"/>
    <w:tmpl w:val="370328B2"/>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3DD318E8"/>
    <w:multiLevelType w:val="multilevel"/>
    <w:tmpl w:val="3DD318E8"/>
    <w:lvl w:ilvl="0" w:tentative="0">
      <w:start w:val="1"/>
      <w:numFmt w:val="decimal"/>
      <w:lvlText w:val="2.2.%1"/>
      <w:lvlJc w:val="left"/>
      <w:pPr>
        <w:ind w:left="420" w:hanging="420"/>
      </w:pPr>
      <w:rPr>
        <w:rFonts w:hint="eastAsia"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95C6238"/>
    <w:multiLevelType w:val="singleLevel"/>
    <w:tmpl w:val="595C6238"/>
    <w:lvl w:ilvl="0" w:tentative="0">
      <w:start w:val="1"/>
      <w:numFmt w:val="decimal"/>
      <w:lvlText w:val="%1."/>
      <w:lvlJc w:val="left"/>
      <w:pPr>
        <w:ind w:left="425" w:hanging="425"/>
      </w:pPr>
      <w:rPr>
        <w:rFonts w:hint="default"/>
        <w:b w:val="0"/>
        <w:bCs w:val="0"/>
      </w:rPr>
    </w:lvl>
  </w:abstractNum>
  <w:abstractNum w:abstractNumId="7">
    <w:nsid w:val="5F907E1D"/>
    <w:multiLevelType w:val="singleLevel"/>
    <w:tmpl w:val="5F907E1D"/>
    <w:lvl w:ilvl="0" w:tentative="0">
      <w:start w:val="3"/>
      <w:numFmt w:val="decimal"/>
      <w:suff w:val="nothing"/>
      <w:lvlText w:val="%1、"/>
      <w:lvlJc w:val="left"/>
    </w:lvl>
  </w:abstractNum>
  <w:abstractNum w:abstractNumId="8">
    <w:nsid w:val="7BE60AB4"/>
    <w:multiLevelType w:val="singleLevel"/>
    <w:tmpl w:val="7BE60AB4"/>
    <w:lvl w:ilvl="0" w:tentative="0">
      <w:start w:val="1"/>
      <w:numFmt w:val="decimal"/>
      <w:pStyle w:val="21"/>
      <w:lvlText w:val="%1."/>
      <w:lvlJc w:val="left"/>
      <w:pPr>
        <w:tabs>
          <w:tab w:val="left" w:pos="1200"/>
        </w:tabs>
        <w:ind w:left="1200" w:hanging="360"/>
      </w:pPr>
    </w:lvl>
  </w:abstractNum>
  <w:num w:numId="1">
    <w:abstractNumId w:val="8"/>
  </w:num>
  <w:num w:numId="2">
    <w:abstractNumId w:val="0"/>
  </w:num>
  <w:num w:numId="3">
    <w:abstractNumId w:val="1"/>
  </w:num>
  <w:num w:numId="4">
    <w:abstractNumId w:val="3"/>
  </w:num>
  <w:num w:numId="5">
    <w:abstractNumId w:val="5"/>
  </w:num>
  <w:num w:numId="6">
    <w:abstractNumId w:val="7"/>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17"/>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553B"/>
    <w:rsid w:val="000535BF"/>
    <w:rsid w:val="00063AFB"/>
    <w:rsid w:val="0006408F"/>
    <w:rsid w:val="000653AD"/>
    <w:rsid w:val="00074F27"/>
    <w:rsid w:val="00082508"/>
    <w:rsid w:val="00094C57"/>
    <w:rsid w:val="000B13EB"/>
    <w:rsid w:val="000C57EF"/>
    <w:rsid w:val="000E30E8"/>
    <w:rsid w:val="00105E92"/>
    <w:rsid w:val="00111466"/>
    <w:rsid w:val="00112663"/>
    <w:rsid w:val="001253AC"/>
    <w:rsid w:val="00136B02"/>
    <w:rsid w:val="00163680"/>
    <w:rsid w:val="00171FF3"/>
    <w:rsid w:val="00172A27"/>
    <w:rsid w:val="001845A6"/>
    <w:rsid w:val="001A48B9"/>
    <w:rsid w:val="001C3B40"/>
    <w:rsid w:val="001C4368"/>
    <w:rsid w:val="00205624"/>
    <w:rsid w:val="00212196"/>
    <w:rsid w:val="00222F44"/>
    <w:rsid w:val="00236763"/>
    <w:rsid w:val="00237E9C"/>
    <w:rsid w:val="00267E2E"/>
    <w:rsid w:val="00270350"/>
    <w:rsid w:val="002718E6"/>
    <w:rsid w:val="00274DD1"/>
    <w:rsid w:val="002A2A39"/>
    <w:rsid w:val="002B7864"/>
    <w:rsid w:val="002C7892"/>
    <w:rsid w:val="002D4561"/>
    <w:rsid w:val="002D634D"/>
    <w:rsid w:val="002F773D"/>
    <w:rsid w:val="003019F2"/>
    <w:rsid w:val="00317D8D"/>
    <w:rsid w:val="00350DD0"/>
    <w:rsid w:val="00364797"/>
    <w:rsid w:val="00384769"/>
    <w:rsid w:val="00391DF0"/>
    <w:rsid w:val="00392224"/>
    <w:rsid w:val="00395239"/>
    <w:rsid w:val="003C5AB0"/>
    <w:rsid w:val="003E238A"/>
    <w:rsid w:val="003E65B0"/>
    <w:rsid w:val="003F24EC"/>
    <w:rsid w:val="004024F3"/>
    <w:rsid w:val="004106B6"/>
    <w:rsid w:val="00410BEC"/>
    <w:rsid w:val="00413625"/>
    <w:rsid w:val="0043243F"/>
    <w:rsid w:val="00445C99"/>
    <w:rsid w:val="00446C8A"/>
    <w:rsid w:val="00447AB9"/>
    <w:rsid w:val="00450EAD"/>
    <w:rsid w:val="00452802"/>
    <w:rsid w:val="00452983"/>
    <w:rsid w:val="0046390E"/>
    <w:rsid w:val="004824CA"/>
    <w:rsid w:val="004B3A5A"/>
    <w:rsid w:val="004B4EFA"/>
    <w:rsid w:val="004C20E1"/>
    <w:rsid w:val="004C366F"/>
    <w:rsid w:val="004D5A0B"/>
    <w:rsid w:val="004E0C6C"/>
    <w:rsid w:val="004F71CC"/>
    <w:rsid w:val="005110ED"/>
    <w:rsid w:val="0051228D"/>
    <w:rsid w:val="00534EC9"/>
    <w:rsid w:val="00536715"/>
    <w:rsid w:val="0053751B"/>
    <w:rsid w:val="005406A3"/>
    <w:rsid w:val="005441A0"/>
    <w:rsid w:val="00553914"/>
    <w:rsid w:val="00561E2B"/>
    <w:rsid w:val="00562D9F"/>
    <w:rsid w:val="00571D10"/>
    <w:rsid w:val="00585F0D"/>
    <w:rsid w:val="005A7E98"/>
    <w:rsid w:val="005B4EF3"/>
    <w:rsid w:val="005E1527"/>
    <w:rsid w:val="005F3AE9"/>
    <w:rsid w:val="00603C09"/>
    <w:rsid w:val="00621ABB"/>
    <w:rsid w:val="006262BF"/>
    <w:rsid w:val="00642CA1"/>
    <w:rsid w:val="006512A1"/>
    <w:rsid w:val="0066419A"/>
    <w:rsid w:val="006816C7"/>
    <w:rsid w:val="00685495"/>
    <w:rsid w:val="006A1EC0"/>
    <w:rsid w:val="006C1A80"/>
    <w:rsid w:val="006C48A3"/>
    <w:rsid w:val="006F2140"/>
    <w:rsid w:val="007148A4"/>
    <w:rsid w:val="007152EA"/>
    <w:rsid w:val="00751208"/>
    <w:rsid w:val="007570D4"/>
    <w:rsid w:val="0076489E"/>
    <w:rsid w:val="0077630D"/>
    <w:rsid w:val="00793B53"/>
    <w:rsid w:val="007A71B2"/>
    <w:rsid w:val="007C0039"/>
    <w:rsid w:val="007C7DEF"/>
    <w:rsid w:val="007F3BD7"/>
    <w:rsid w:val="00822ED6"/>
    <w:rsid w:val="008249DE"/>
    <w:rsid w:val="00845261"/>
    <w:rsid w:val="00866F4D"/>
    <w:rsid w:val="008B05A7"/>
    <w:rsid w:val="008D2566"/>
    <w:rsid w:val="008D3199"/>
    <w:rsid w:val="008D721B"/>
    <w:rsid w:val="008E4EAF"/>
    <w:rsid w:val="008F6BCB"/>
    <w:rsid w:val="00937AAF"/>
    <w:rsid w:val="009534B3"/>
    <w:rsid w:val="00991BED"/>
    <w:rsid w:val="00994711"/>
    <w:rsid w:val="009A3EBA"/>
    <w:rsid w:val="009A40DA"/>
    <w:rsid w:val="009C39E4"/>
    <w:rsid w:val="009E2143"/>
    <w:rsid w:val="009E4B41"/>
    <w:rsid w:val="009F2366"/>
    <w:rsid w:val="009F3F42"/>
    <w:rsid w:val="00A0454C"/>
    <w:rsid w:val="00A04E59"/>
    <w:rsid w:val="00A34CD2"/>
    <w:rsid w:val="00A40F54"/>
    <w:rsid w:val="00A74969"/>
    <w:rsid w:val="00A80EA7"/>
    <w:rsid w:val="00A84A87"/>
    <w:rsid w:val="00A959FB"/>
    <w:rsid w:val="00A979A6"/>
    <w:rsid w:val="00AF1BB4"/>
    <w:rsid w:val="00AF3EAA"/>
    <w:rsid w:val="00B01F75"/>
    <w:rsid w:val="00B11B86"/>
    <w:rsid w:val="00B3230D"/>
    <w:rsid w:val="00B37DF4"/>
    <w:rsid w:val="00B73634"/>
    <w:rsid w:val="00B901B4"/>
    <w:rsid w:val="00BE6F9B"/>
    <w:rsid w:val="00BF4630"/>
    <w:rsid w:val="00C30F78"/>
    <w:rsid w:val="00C37356"/>
    <w:rsid w:val="00C45F27"/>
    <w:rsid w:val="00C549EE"/>
    <w:rsid w:val="00C83A41"/>
    <w:rsid w:val="00CA0A81"/>
    <w:rsid w:val="00CB6C3F"/>
    <w:rsid w:val="00CC7A37"/>
    <w:rsid w:val="00D107D6"/>
    <w:rsid w:val="00D4339D"/>
    <w:rsid w:val="00D557BD"/>
    <w:rsid w:val="00D8444D"/>
    <w:rsid w:val="00DB3001"/>
    <w:rsid w:val="00DD1C38"/>
    <w:rsid w:val="00DF6E52"/>
    <w:rsid w:val="00DF6E79"/>
    <w:rsid w:val="00E11615"/>
    <w:rsid w:val="00E17503"/>
    <w:rsid w:val="00E34440"/>
    <w:rsid w:val="00E43616"/>
    <w:rsid w:val="00E4609E"/>
    <w:rsid w:val="00E65676"/>
    <w:rsid w:val="00E72703"/>
    <w:rsid w:val="00E8675B"/>
    <w:rsid w:val="00EA069C"/>
    <w:rsid w:val="00EB5CDB"/>
    <w:rsid w:val="00EE4040"/>
    <w:rsid w:val="00F15C54"/>
    <w:rsid w:val="00F34DB5"/>
    <w:rsid w:val="00F41A0F"/>
    <w:rsid w:val="00F7105B"/>
    <w:rsid w:val="00F810D0"/>
    <w:rsid w:val="00FA50D7"/>
    <w:rsid w:val="00FB19E5"/>
    <w:rsid w:val="00FB4DC5"/>
    <w:rsid w:val="00FC754B"/>
    <w:rsid w:val="00FD3D1D"/>
    <w:rsid w:val="00FE4529"/>
    <w:rsid w:val="00FF58EB"/>
    <w:rsid w:val="010A4E3F"/>
    <w:rsid w:val="0113463E"/>
    <w:rsid w:val="013C78F6"/>
    <w:rsid w:val="013F6109"/>
    <w:rsid w:val="01492D0F"/>
    <w:rsid w:val="01757C49"/>
    <w:rsid w:val="018340AC"/>
    <w:rsid w:val="019F2AB9"/>
    <w:rsid w:val="01A274AC"/>
    <w:rsid w:val="01B36C93"/>
    <w:rsid w:val="01B61104"/>
    <w:rsid w:val="01BC475A"/>
    <w:rsid w:val="01BD0243"/>
    <w:rsid w:val="01C70859"/>
    <w:rsid w:val="01DB33F8"/>
    <w:rsid w:val="01DC6F66"/>
    <w:rsid w:val="02142316"/>
    <w:rsid w:val="023D129D"/>
    <w:rsid w:val="0284352C"/>
    <w:rsid w:val="02955E1C"/>
    <w:rsid w:val="02AD13F3"/>
    <w:rsid w:val="02C20B09"/>
    <w:rsid w:val="02D24ABD"/>
    <w:rsid w:val="02DA782E"/>
    <w:rsid w:val="02E91D43"/>
    <w:rsid w:val="02EC0830"/>
    <w:rsid w:val="02F87B9E"/>
    <w:rsid w:val="030714C7"/>
    <w:rsid w:val="035A1C0C"/>
    <w:rsid w:val="036052A4"/>
    <w:rsid w:val="03640ACD"/>
    <w:rsid w:val="039B3C46"/>
    <w:rsid w:val="039C6385"/>
    <w:rsid w:val="03A101AF"/>
    <w:rsid w:val="03EB60D6"/>
    <w:rsid w:val="042F37E2"/>
    <w:rsid w:val="044E02CE"/>
    <w:rsid w:val="044E669F"/>
    <w:rsid w:val="047C191B"/>
    <w:rsid w:val="048A7647"/>
    <w:rsid w:val="048B0B91"/>
    <w:rsid w:val="04950A20"/>
    <w:rsid w:val="049A2F78"/>
    <w:rsid w:val="04B4715E"/>
    <w:rsid w:val="04B641A9"/>
    <w:rsid w:val="04F7552C"/>
    <w:rsid w:val="04FC1BC1"/>
    <w:rsid w:val="05083201"/>
    <w:rsid w:val="05195B6C"/>
    <w:rsid w:val="051A5BF1"/>
    <w:rsid w:val="052F37A7"/>
    <w:rsid w:val="0544635C"/>
    <w:rsid w:val="054971BB"/>
    <w:rsid w:val="056E443A"/>
    <w:rsid w:val="0591376E"/>
    <w:rsid w:val="05960DD2"/>
    <w:rsid w:val="05983045"/>
    <w:rsid w:val="059C0C15"/>
    <w:rsid w:val="05B95FC7"/>
    <w:rsid w:val="05C65CAD"/>
    <w:rsid w:val="05CC775E"/>
    <w:rsid w:val="05ED3462"/>
    <w:rsid w:val="05FF0063"/>
    <w:rsid w:val="06345A32"/>
    <w:rsid w:val="06891246"/>
    <w:rsid w:val="06966FCF"/>
    <w:rsid w:val="069A0758"/>
    <w:rsid w:val="06A13BDF"/>
    <w:rsid w:val="06C220E1"/>
    <w:rsid w:val="06E15C55"/>
    <w:rsid w:val="07041DCC"/>
    <w:rsid w:val="0718485A"/>
    <w:rsid w:val="07411323"/>
    <w:rsid w:val="07703A25"/>
    <w:rsid w:val="078B2C19"/>
    <w:rsid w:val="07966F6A"/>
    <w:rsid w:val="079F234C"/>
    <w:rsid w:val="07AD66BA"/>
    <w:rsid w:val="07B450D0"/>
    <w:rsid w:val="07EC13EF"/>
    <w:rsid w:val="08066B77"/>
    <w:rsid w:val="08123AF7"/>
    <w:rsid w:val="08550417"/>
    <w:rsid w:val="08605220"/>
    <w:rsid w:val="087A4E0A"/>
    <w:rsid w:val="08A27B3F"/>
    <w:rsid w:val="08B648B8"/>
    <w:rsid w:val="08F0641A"/>
    <w:rsid w:val="08FA6D12"/>
    <w:rsid w:val="09271D4C"/>
    <w:rsid w:val="0927603A"/>
    <w:rsid w:val="093C281A"/>
    <w:rsid w:val="09590D6C"/>
    <w:rsid w:val="09A53148"/>
    <w:rsid w:val="09AF6CA0"/>
    <w:rsid w:val="09B01871"/>
    <w:rsid w:val="09B80E0C"/>
    <w:rsid w:val="09E30AA0"/>
    <w:rsid w:val="09F46CE4"/>
    <w:rsid w:val="09F6147D"/>
    <w:rsid w:val="0A011D28"/>
    <w:rsid w:val="0A083FB8"/>
    <w:rsid w:val="0A2B5D5C"/>
    <w:rsid w:val="0A3D7211"/>
    <w:rsid w:val="0A402814"/>
    <w:rsid w:val="0A5372B5"/>
    <w:rsid w:val="0A576ECA"/>
    <w:rsid w:val="0A656E27"/>
    <w:rsid w:val="0A771EBB"/>
    <w:rsid w:val="0A8E2B5B"/>
    <w:rsid w:val="0AE44A71"/>
    <w:rsid w:val="0B3F1DC4"/>
    <w:rsid w:val="0B804580"/>
    <w:rsid w:val="0B873B9D"/>
    <w:rsid w:val="0BB9073E"/>
    <w:rsid w:val="0BC275A0"/>
    <w:rsid w:val="0BCB0E68"/>
    <w:rsid w:val="0BDD5B01"/>
    <w:rsid w:val="0BFA1F89"/>
    <w:rsid w:val="0BFB5B29"/>
    <w:rsid w:val="0C055223"/>
    <w:rsid w:val="0C1E1BFA"/>
    <w:rsid w:val="0C2308DD"/>
    <w:rsid w:val="0C285E0B"/>
    <w:rsid w:val="0C3B4E71"/>
    <w:rsid w:val="0C46760B"/>
    <w:rsid w:val="0C487F36"/>
    <w:rsid w:val="0C6A5140"/>
    <w:rsid w:val="0C6D3EF1"/>
    <w:rsid w:val="0CB50B40"/>
    <w:rsid w:val="0CBC5D87"/>
    <w:rsid w:val="0CC92EA7"/>
    <w:rsid w:val="0CC96D7D"/>
    <w:rsid w:val="0CCB1050"/>
    <w:rsid w:val="0CD60BE3"/>
    <w:rsid w:val="0CDA522E"/>
    <w:rsid w:val="0CE01E6A"/>
    <w:rsid w:val="0D04764E"/>
    <w:rsid w:val="0D0D3028"/>
    <w:rsid w:val="0D0F527A"/>
    <w:rsid w:val="0D1A060A"/>
    <w:rsid w:val="0D1B7C6B"/>
    <w:rsid w:val="0D313830"/>
    <w:rsid w:val="0D3D1C1B"/>
    <w:rsid w:val="0D49225E"/>
    <w:rsid w:val="0D6B4B8D"/>
    <w:rsid w:val="0D6F0666"/>
    <w:rsid w:val="0D73211D"/>
    <w:rsid w:val="0D877656"/>
    <w:rsid w:val="0DD10027"/>
    <w:rsid w:val="0DE0628F"/>
    <w:rsid w:val="0DEC7658"/>
    <w:rsid w:val="0E0D284C"/>
    <w:rsid w:val="0E126FCD"/>
    <w:rsid w:val="0E307FA7"/>
    <w:rsid w:val="0E695C3A"/>
    <w:rsid w:val="0E761977"/>
    <w:rsid w:val="0E7649B2"/>
    <w:rsid w:val="0E9A0389"/>
    <w:rsid w:val="0ED1587F"/>
    <w:rsid w:val="0EDD4100"/>
    <w:rsid w:val="0EEB4E72"/>
    <w:rsid w:val="0F224DD8"/>
    <w:rsid w:val="0F542C54"/>
    <w:rsid w:val="0F5B009A"/>
    <w:rsid w:val="0F7B3C88"/>
    <w:rsid w:val="0F833F1A"/>
    <w:rsid w:val="0FD84B32"/>
    <w:rsid w:val="0FF23AAD"/>
    <w:rsid w:val="10065F88"/>
    <w:rsid w:val="10101659"/>
    <w:rsid w:val="10127340"/>
    <w:rsid w:val="101A0CB2"/>
    <w:rsid w:val="103E63D3"/>
    <w:rsid w:val="106024CA"/>
    <w:rsid w:val="10713FFB"/>
    <w:rsid w:val="108F52C0"/>
    <w:rsid w:val="109E44C3"/>
    <w:rsid w:val="10C07041"/>
    <w:rsid w:val="110D69B3"/>
    <w:rsid w:val="111D1EDC"/>
    <w:rsid w:val="11260C81"/>
    <w:rsid w:val="112B48B0"/>
    <w:rsid w:val="11412318"/>
    <w:rsid w:val="115B40E6"/>
    <w:rsid w:val="11A667D2"/>
    <w:rsid w:val="11B3521B"/>
    <w:rsid w:val="11C7416D"/>
    <w:rsid w:val="11DA1B45"/>
    <w:rsid w:val="11E80CC4"/>
    <w:rsid w:val="12142A6E"/>
    <w:rsid w:val="12351943"/>
    <w:rsid w:val="123869BE"/>
    <w:rsid w:val="123D6EEE"/>
    <w:rsid w:val="12474CFD"/>
    <w:rsid w:val="124F7D9F"/>
    <w:rsid w:val="12583B93"/>
    <w:rsid w:val="125B242A"/>
    <w:rsid w:val="129B3B76"/>
    <w:rsid w:val="12A97956"/>
    <w:rsid w:val="12BA5E9D"/>
    <w:rsid w:val="1322084C"/>
    <w:rsid w:val="13280A09"/>
    <w:rsid w:val="13295BF2"/>
    <w:rsid w:val="135B4F5D"/>
    <w:rsid w:val="135D4676"/>
    <w:rsid w:val="137208F4"/>
    <w:rsid w:val="137C7D65"/>
    <w:rsid w:val="138D0733"/>
    <w:rsid w:val="13AA09CB"/>
    <w:rsid w:val="13BD2490"/>
    <w:rsid w:val="13C6669E"/>
    <w:rsid w:val="13EC3629"/>
    <w:rsid w:val="13F05646"/>
    <w:rsid w:val="13FF78DF"/>
    <w:rsid w:val="14090B18"/>
    <w:rsid w:val="14380557"/>
    <w:rsid w:val="14561FC5"/>
    <w:rsid w:val="14593BA2"/>
    <w:rsid w:val="145D238E"/>
    <w:rsid w:val="145F5B88"/>
    <w:rsid w:val="147D0987"/>
    <w:rsid w:val="14A57F5A"/>
    <w:rsid w:val="14BB5C56"/>
    <w:rsid w:val="14CF05B0"/>
    <w:rsid w:val="14D40303"/>
    <w:rsid w:val="14DC5499"/>
    <w:rsid w:val="14DE221C"/>
    <w:rsid w:val="14EC0B02"/>
    <w:rsid w:val="14F057AE"/>
    <w:rsid w:val="15210DF2"/>
    <w:rsid w:val="152C44E8"/>
    <w:rsid w:val="153C5F37"/>
    <w:rsid w:val="153F24BE"/>
    <w:rsid w:val="15447EC2"/>
    <w:rsid w:val="1547276F"/>
    <w:rsid w:val="15707116"/>
    <w:rsid w:val="159728A9"/>
    <w:rsid w:val="15972FBD"/>
    <w:rsid w:val="15983E8D"/>
    <w:rsid w:val="15AB42EC"/>
    <w:rsid w:val="15B34E94"/>
    <w:rsid w:val="15B620CA"/>
    <w:rsid w:val="15B66061"/>
    <w:rsid w:val="15DB2C6E"/>
    <w:rsid w:val="15E85DFD"/>
    <w:rsid w:val="16304D49"/>
    <w:rsid w:val="16336899"/>
    <w:rsid w:val="163A2177"/>
    <w:rsid w:val="163C6841"/>
    <w:rsid w:val="16403087"/>
    <w:rsid w:val="16410D19"/>
    <w:rsid w:val="16645D7C"/>
    <w:rsid w:val="166C06AE"/>
    <w:rsid w:val="16785991"/>
    <w:rsid w:val="1684649F"/>
    <w:rsid w:val="168B04F6"/>
    <w:rsid w:val="1692341E"/>
    <w:rsid w:val="16927545"/>
    <w:rsid w:val="169F3CC0"/>
    <w:rsid w:val="16A85910"/>
    <w:rsid w:val="16CB7467"/>
    <w:rsid w:val="16EE0A42"/>
    <w:rsid w:val="171C7648"/>
    <w:rsid w:val="17503F0C"/>
    <w:rsid w:val="1753618F"/>
    <w:rsid w:val="175C6A5C"/>
    <w:rsid w:val="1768331F"/>
    <w:rsid w:val="176A43C0"/>
    <w:rsid w:val="176D7269"/>
    <w:rsid w:val="176F2C8B"/>
    <w:rsid w:val="177068BF"/>
    <w:rsid w:val="17712EC4"/>
    <w:rsid w:val="17A81D81"/>
    <w:rsid w:val="17C05ED7"/>
    <w:rsid w:val="17F865AF"/>
    <w:rsid w:val="1802345E"/>
    <w:rsid w:val="1813297D"/>
    <w:rsid w:val="185615E3"/>
    <w:rsid w:val="1873380E"/>
    <w:rsid w:val="18741EDE"/>
    <w:rsid w:val="188D61B1"/>
    <w:rsid w:val="18956666"/>
    <w:rsid w:val="189F56E3"/>
    <w:rsid w:val="193A34A9"/>
    <w:rsid w:val="193A761D"/>
    <w:rsid w:val="1952520B"/>
    <w:rsid w:val="19537D6F"/>
    <w:rsid w:val="19696EAF"/>
    <w:rsid w:val="19893AAF"/>
    <w:rsid w:val="19A11DAB"/>
    <w:rsid w:val="19B14521"/>
    <w:rsid w:val="19B819AD"/>
    <w:rsid w:val="19C7523C"/>
    <w:rsid w:val="19D901D5"/>
    <w:rsid w:val="19E713D6"/>
    <w:rsid w:val="19ED3595"/>
    <w:rsid w:val="1A391CD8"/>
    <w:rsid w:val="1A40601F"/>
    <w:rsid w:val="1A670E98"/>
    <w:rsid w:val="1A7B651C"/>
    <w:rsid w:val="1A8D3B8C"/>
    <w:rsid w:val="1AAF1315"/>
    <w:rsid w:val="1ABE2DAF"/>
    <w:rsid w:val="1AD24020"/>
    <w:rsid w:val="1AFC587D"/>
    <w:rsid w:val="1B0E7C73"/>
    <w:rsid w:val="1B36496A"/>
    <w:rsid w:val="1B6E5E48"/>
    <w:rsid w:val="1B745984"/>
    <w:rsid w:val="1B9734D5"/>
    <w:rsid w:val="1B9C3DA0"/>
    <w:rsid w:val="1BBD6B74"/>
    <w:rsid w:val="1BDC394E"/>
    <w:rsid w:val="1BE968B5"/>
    <w:rsid w:val="1BF639FF"/>
    <w:rsid w:val="1C046B4E"/>
    <w:rsid w:val="1C067322"/>
    <w:rsid w:val="1C1F124C"/>
    <w:rsid w:val="1C3D0436"/>
    <w:rsid w:val="1C540D75"/>
    <w:rsid w:val="1C647786"/>
    <w:rsid w:val="1C7769BA"/>
    <w:rsid w:val="1C7C1E9E"/>
    <w:rsid w:val="1C894EAD"/>
    <w:rsid w:val="1C995530"/>
    <w:rsid w:val="1CA36708"/>
    <w:rsid w:val="1CB425FF"/>
    <w:rsid w:val="1CCA13B0"/>
    <w:rsid w:val="1CDA1A99"/>
    <w:rsid w:val="1CFB036F"/>
    <w:rsid w:val="1CFE6EA4"/>
    <w:rsid w:val="1D003E64"/>
    <w:rsid w:val="1D07174E"/>
    <w:rsid w:val="1D1005E4"/>
    <w:rsid w:val="1D1579AB"/>
    <w:rsid w:val="1D1A2C3B"/>
    <w:rsid w:val="1D2B7A32"/>
    <w:rsid w:val="1D3662EE"/>
    <w:rsid w:val="1D3C0E85"/>
    <w:rsid w:val="1D445F55"/>
    <w:rsid w:val="1D5B6B6E"/>
    <w:rsid w:val="1D672A68"/>
    <w:rsid w:val="1D847AF6"/>
    <w:rsid w:val="1D9020E3"/>
    <w:rsid w:val="1DA70076"/>
    <w:rsid w:val="1DA73293"/>
    <w:rsid w:val="1DB55A98"/>
    <w:rsid w:val="1DC12C9F"/>
    <w:rsid w:val="1DCB565A"/>
    <w:rsid w:val="1DD27E44"/>
    <w:rsid w:val="1DF802D1"/>
    <w:rsid w:val="1E2A3477"/>
    <w:rsid w:val="1E35745E"/>
    <w:rsid w:val="1E3D0A28"/>
    <w:rsid w:val="1E3F148C"/>
    <w:rsid w:val="1E4A35C1"/>
    <w:rsid w:val="1E4C6216"/>
    <w:rsid w:val="1E7252CC"/>
    <w:rsid w:val="1E815671"/>
    <w:rsid w:val="1E9C7039"/>
    <w:rsid w:val="1EBB0C1B"/>
    <w:rsid w:val="1EBC63E1"/>
    <w:rsid w:val="1EC41DAD"/>
    <w:rsid w:val="1ED36773"/>
    <w:rsid w:val="1ED62477"/>
    <w:rsid w:val="1EE8435D"/>
    <w:rsid w:val="1EE90BD8"/>
    <w:rsid w:val="1F0530F1"/>
    <w:rsid w:val="1F0A7191"/>
    <w:rsid w:val="1F2379FB"/>
    <w:rsid w:val="1F567729"/>
    <w:rsid w:val="1F755ED9"/>
    <w:rsid w:val="1F7B7E32"/>
    <w:rsid w:val="1F9B69A7"/>
    <w:rsid w:val="1FA57CD2"/>
    <w:rsid w:val="1FA96451"/>
    <w:rsid w:val="1FCB4286"/>
    <w:rsid w:val="1FD04D56"/>
    <w:rsid w:val="200A4970"/>
    <w:rsid w:val="200D1104"/>
    <w:rsid w:val="202A11F9"/>
    <w:rsid w:val="202B3F11"/>
    <w:rsid w:val="203E2DBD"/>
    <w:rsid w:val="203F1707"/>
    <w:rsid w:val="20496C4E"/>
    <w:rsid w:val="2055774B"/>
    <w:rsid w:val="20631BBA"/>
    <w:rsid w:val="20816A1D"/>
    <w:rsid w:val="20854319"/>
    <w:rsid w:val="21193A71"/>
    <w:rsid w:val="21234AED"/>
    <w:rsid w:val="21493B6F"/>
    <w:rsid w:val="2169158C"/>
    <w:rsid w:val="216F4095"/>
    <w:rsid w:val="21932902"/>
    <w:rsid w:val="21A11D32"/>
    <w:rsid w:val="21AD22E3"/>
    <w:rsid w:val="21B078C5"/>
    <w:rsid w:val="21B12378"/>
    <w:rsid w:val="21BE5EAC"/>
    <w:rsid w:val="21D12BFE"/>
    <w:rsid w:val="21DB11C5"/>
    <w:rsid w:val="220343ED"/>
    <w:rsid w:val="221664D6"/>
    <w:rsid w:val="22186910"/>
    <w:rsid w:val="2238122F"/>
    <w:rsid w:val="2239378A"/>
    <w:rsid w:val="22560848"/>
    <w:rsid w:val="22692432"/>
    <w:rsid w:val="226932B8"/>
    <w:rsid w:val="22886A63"/>
    <w:rsid w:val="22990A39"/>
    <w:rsid w:val="22D2451C"/>
    <w:rsid w:val="22ED21C9"/>
    <w:rsid w:val="22F541EC"/>
    <w:rsid w:val="22FD1EB8"/>
    <w:rsid w:val="23082B23"/>
    <w:rsid w:val="231075F6"/>
    <w:rsid w:val="23144688"/>
    <w:rsid w:val="232C719F"/>
    <w:rsid w:val="23385DA5"/>
    <w:rsid w:val="23421F11"/>
    <w:rsid w:val="235D54C2"/>
    <w:rsid w:val="23642199"/>
    <w:rsid w:val="236C735E"/>
    <w:rsid w:val="23855C9F"/>
    <w:rsid w:val="23A74691"/>
    <w:rsid w:val="23A9174D"/>
    <w:rsid w:val="23BB1B7E"/>
    <w:rsid w:val="23C76A33"/>
    <w:rsid w:val="23D313DE"/>
    <w:rsid w:val="23D81A83"/>
    <w:rsid w:val="23FE579A"/>
    <w:rsid w:val="241B1A07"/>
    <w:rsid w:val="24212CE0"/>
    <w:rsid w:val="24312D54"/>
    <w:rsid w:val="24342FDE"/>
    <w:rsid w:val="244312A4"/>
    <w:rsid w:val="24501DF0"/>
    <w:rsid w:val="2450704B"/>
    <w:rsid w:val="24551C74"/>
    <w:rsid w:val="246E16DD"/>
    <w:rsid w:val="2482558F"/>
    <w:rsid w:val="2497379F"/>
    <w:rsid w:val="24A76E9C"/>
    <w:rsid w:val="24C608D5"/>
    <w:rsid w:val="24CC2B62"/>
    <w:rsid w:val="24E4181F"/>
    <w:rsid w:val="25137A6B"/>
    <w:rsid w:val="251F0E71"/>
    <w:rsid w:val="253066E6"/>
    <w:rsid w:val="253134A4"/>
    <w:rsid w:val="25895D80"/>
    <w:rsid w:val="259C189B"/>
    <w:rsid w:val="25A73EAC"/>
    <w:rsid w:val="25C70C94"/>
    <w:rsid w:val="25D87F16"/>
    <w:rsid w:val="25E749D4"/>
    <w:rsid w:val="261B5F8F"/>
    <w:rsid w:val="261D57F8"/>
    <w:rsid w:val="263243C3"/>
    <w:rsid w:val="26430224"/>
    <w:rsid w:val="264842A1"/>
    <w:rsid w:val="264E66DA"/>
    <w:rsid w:val="26883787"/>
    <w:rsid w:val="268E7F4D"/>
    <w:rsid w:val="2694720C"/>
    <w:rsid w:val="26B451CC"/>
    <w:rsid w:val="26DE070A"/>
    <w:rsid w:val="26F83DFF"/>
    <w:rsid w:val="27253AFB"/>
    <w:rsid w:val="272C038B"/>
    <w:rsid w:val="2730062F"/>
    <w:rsid w:val="27430B5C"/>
    <w:rsid w:val="27866266"/>
    <w:rsid w:val="27925B57"/>
    <w:rsid w:val="27981D50"/>
    <w:rsid w:val="27C10F69"/>
    <w:rsid w:val="282864BC"/>
    <w:rsid w:val="282F3714"/>
    <w:rsid w:val="283629FC"/>
    <w:rsid w:val="283F7454"/>
    <w:rsid w:val="284C4218"/>
    <w:rsid w:val="285703A6"/>
    <w:rsid w:val="28642060"/>
    <w:rsid w:val="28833AEC"/>
    <w:rsid w:val="289D0E8C"/>
    <w:rsid w:val="289D2C71"/>
    <w:rsid w:val="289F13F6"/>
    <w:rsid w:val="28F827CB"/>
    <w:rsid w:val="290C6A01"/>
    <w:rsid w:val="2937569C"/>
    <w:rsid w:val="29414B25"/>
    <w:rsid w:val="29563E2F"/>
    <w:rsid w:val="296A53D2"/>
    <w:rsid w:val="296F69DB"/>
    <w:rsid w:val="29866CDF"/>
    <w:rsid w:val="2993712F"/>
    <w:rsid w:val="29976736"/>
    <w:rsid w:val="299C6BED"/>
    <w:rsid w:val="299E7AD2"/>
    <w:rsid w:val="29A70018"/>
    <w:rsid w:val="29AF0836"/>
    <w:rsid w:val="29BA0AB5"/>
    <w:rsid w:val="29D0176A"/>
    <w:rsid w:val="29D34AF1"/>
    <w:rsid w:val="29E129E4"/>
    <w:rsid w:val="2A1A11D9"/>
    <w:rsid w:val="2A3727D9"/>
    <w:rsid w:val="2A4A7B7A"/>
    <w:rsid w:val="2A7936D6"/>
    <w:rsid w:val="2A827C43"/>
    <w:rsid w:val="2A9B7A12"/>
    <w:rsid w:val="2AAC47D2"/>
    <w:rsid w:val="2AB00B37"/>
    <w:rsid w:val="2AC47CD3"/>
    <w:rsid w:val="2B082C1B"/>
    <w:rsid w:val="2B0B70F5"/>
    <w:rsid w:val="2B2D3134"/>
    <w:rsid w:val="2B311FE7"/>
    <w:rsid w:val="2B4B4F2C"/>
    <w:rsid w:val="2B5D13D7"/>
    <w:rsid w:val="2B5E4242"/>
    <w:rsid w:val="2B730D06"/>
    <w:rsid w:val="2BA14DFC"/>
    <w:rsid w:val="2BCE0436"/>
    <w:rsid w:val="2BDC0A55"/>
    <w:rsid w:val="2BF50236"/>
    <w:rsid w:val="2BFE290C"/>
    <w:rsid w:val="2C8738AB"/>
    <w:rsid w:val="2C9A3955"/>
    <w:rsid w:val="2CB2780D"/>
    <w:rsid w:val="2CB36C13"/>
    <w:rsid w:val="2CC858A1"/>
    <w:rsid w:val="2CD75AD3"/>
    <w:rsid w:val="2CD8056F"/>
    <w:rsid w:val="2CFD0B2D"/>
    <w:rsid w:val="2CFF2AA9"/>
    <w:rsid w:val="2D1B3668"/>
    <w:rsid w:val="2D246B6A"/>
    <w:rsid w:val="2D4D026B"/>
    <w:rsid w:val="2D71784D"/>
    <w:rsid w:val="2D79791A"/>
    <w:rsid w:val="2D7A5DF0"/>
    <w:rsid w:val="2D7F3C3B"/>
    <w:rsid w:val="2D7F7328"/>
    <w:rsid w:val="2D9B0D79"/>
    <w:rsid w:val="2DE354B3"/>
    <w:rsid w:val="2DED3FDF"/>
    <w:rsid w:val="2DF000AB"/>
    <w:rsid w:val="2E1470C4"/>
    <w:rsid w:val="2E2A2F17"/>
    <w:rsid w:val="2E385535"/>
    <w:rsid w:val="2E3916D1"/>
    <w:rsid w:val="2E3A5FA7"/>
    <w:rsid w:val="2E3E1D05"/>
    <w:rsid w:val="2E8C2E18"/>
    <w:rsid w:val="2E8F4BAA"/>
    <w:rsid w:val="2E955E47"/>
    <w:rsid w:val="2EB66DA1"/>
    <w:rsid w:val="2ED31425"/>
    <w:rsid w:val="2EE928C7"/>
    <w:rsid w:val="2EF85F09"/>
    <w:rsid w:val="2F10230B"/>
    <w:rsid w:val="2F2A56A9"/>
    <w:rsid w:val="2F362DC2"/>
    <w:rsid w:val="2F3E0DD7"/>
    <w:rsid w:val="2F40207E"/>
    <w:rsid w:val="2F633DF6"/>
    <w:rsid w:val="2F7E2CDE"/>
    <w:rsid w:val="2F8A3FE1"/>
    <w:rsid w:val="2F9B0B1E"/>
    <w:rsid w:val="2F9C3DAE"/>
    <w:rsid w:val="2FBA1C31"/>
    <w:rsid w:val="2FC351E6"/>
    <w:rsid w:val="2FCB41DB"/>
    <w:rsid w:val="2FF3654A"/>
    <w:rsid w:val="2FFD7179"/>
    <w:rsid w:val="30222982"/>
    <w:rsid w:val="303142E0"/>
    <w:rsid w:val="303E5232"/>
    <w:rsid w:val="30533679"/>
    <w:rsid w:val="30630F4C"/>
    <w:rsid w:val="307E4FD7"/>
    <w:rsid w:val="30842277"/>
    <w:rsid w:val="308E2B1C"/>
    <w:rsid w:val="30BD070B"/>
    <w:rsid w:val="30DA29C4"/>
    <w:rsid w:val="30DD05A1"/>
    <w:rsid w:val="30E238B1"/>
    <w:rsid w:val="30F33F1E"/>
    <w:rsid w:val="30FE4327"/>
    <w:rsid w:val="30FF47E1"/>
    <w:rsid w:val="31181E11"/>
    <w:rsid w:val="31292035"/>
    <w:rsid w:val="315D5E19"/>
    <w:rsid w:val="315E409F"/>
    <w:rsid w:val="319959C1"/>
    <w:rsid w:val="31A31A73"/>
    <w:rsid w:val="31BA1447"/>
    <w:rsid w:val="31C36875"/>
    <w:rsid w:val="31CA7421"/>
    <w:rsid w:val="31EF116E"/>
    <w:rsid w:val="31FB7710"/>
    <w:rsid w:val="3202361C"/>
    <w:rsid w:val="320F4E04"/>
    <w:rsid w:val="321E5E0B"/>
    <w:rsid w:val="321F1DD6"/>
    <w:rsid w:val="322C6945"/>
    <w:rsid w:val="32346F2A"/>
    <w:rsid w:val="323A67CC"/>
    <w:rsid w:val="32460357"/>
    <w:rsid w:val="32522627"/>
    <w:rsid w:val="3290209B"/>
    <w:rsid w:val="329B154F"/>
    <w:rsid w:val="32BF099F"/>
    <w:rsid w:val="32E84450"/>
    <w:rsid w:val="331D2DEA"/>
    <w:rsid w:val="331E642B"/>
    <w:rsid w:val="33321DBF"/>
    <w:rsid w:val="33453B18"/>
    <w:rsid w:val="3345649A"/>
    <w:rsid w:val="334F45A0"/>
    <w:rsid w:val="337027E5"/>
    <w:rsid w:val="33725E17"/>
    <w:rsid w:val="33756CB2"/>
    <w:rsid w:val="33967A09"/>
    <w:rsid w:val="33B81690"/>
    <w:rsid w:val="33DD36FA"/>
    <w:rsid w:val="33EE1B8B"/>
    <w:rsid w:val="341F2125"/>
    <w:rsid w:val="342B5281"/>
    <w:rsid w:val="34313A7B"/>
    <w:rsid w:val="34452627"/>
    <w:rsid w:val="344A223D"/>
    <w:rsid w:val="34684EE8"/>
    <w:rsid w:val="34964243"/>
    <w:rsid w:val="34966033"/>
    <w:rsid w:val="349C1B2E"/>
    <w:rsid w:val="349E6F41"/>
    <w:rsid w:val="34DC294E"/>
    <w:rsid w:val="350466DC"/>
    <w:rsid w:val="352E054F"/>
    <w:rsid w:val="353126C1"/>
    <w:rsid w:val="35457076"/>
    <w:rsid w:val="354C0231"/>
    <w:rsid w:val="3554290A"/>
    <w:rsid w:val="3560553D"/>
    <w:rsid w:val="35647BDD"/>
    <w:rsid w:val="35664538"/>
    <w:rsid w:val="356C63C1"/>
    <w:rsid w:val="35B41299"/>
    <w:rsid w:val="35B968FC"/>
    <w:rsid w:val="35C73E6C"/>
    <w:rsid w:val="35EE3115"/>
    <w:rsid w:val="36196643"/>
    <w:rsid w:val="361F547C"/>
    <w:rsid w:val="362B32F7"/>
    <w:rsid w:val="363C3BF6"/>
    <w:rsid w:val="365F72B9"/>
    <w:rsid w:val="366952B1"/>
    <w:rsid w:val="366B1248"/>
    <w:rsid w:val="36751B46"/>
    <w:rsid w:val="36831E80"/>
    <w:rsid w:val="36C81E2D"/>
    <w:rsid w:val="36CD471F"/>
    <w:rsid w:val="36E00EF2"/>
    <w:rsid w:val="36E014C4"/>
    <w:rsid w:val="36E22718"/>
    <w:rsid w:val="36EC38CA"/>
    <w:rsid w:val="36F55066"/>
    <w:rsid w:val="36F87F23"/>
    <w:rsid w:val="36F9124F"/>
    <w:rsid w:val="3725066C"/>
    <w:rsid w:val="374F75E8"/>
    <w:rsid w:val="375C2EEC"/>
    <w:rsid w:val="37634C96"/>
    <w:rsid w:val="37700584"/>
    <w:rsid w:val="377C519D"/>
    <w:rsid w:val="378236A5"/>
    <w:rsid w:val="379C4312"/>
    <w:rsid w:val="37A104B6"/>
    <w:rsid w:val="37C057A9"/>
    <w:rsid w:val="37DE6807"/>
    <w:rsid w:val="3805246A"/>
    <w:rsid w:val="380913C7"/>
    <w:rsid w:val="381A3849"/>
    <w:rsid w:val="381F1492"/>
    <w:rsid w:val="38261503"/>
    <w:rsid w:val="382E70D5"/>
    <w:rsid w:val="38601049"/>
    <w:rsid w:val="38632F35"/>
    <w:rsid w:val="389C0553"/>
    <w:rsid w:val="389D219A"/>
    <w:rsid w:val="38C3703C"/>
    <w:rsid w:val="38C52BF8"/>
    <w:rsid w:val="392211A7"/>
    <w:rsid w:val="39383CFC"/>
    <w:rsid w:val="39891DF6"/>
    <w:rsid w:val="399E1F94"/>
    <w:rsid w:val="39A77040"/>
    <w:rsid w:val="39B74B02"/>
    <w:rsid w:val="39B847B6"/>
    <w:rsid w:val="39DD2C85"/>
    <w:rsid w:val="3A1523DC"/>
    <w:rsid w:val="3A3E6000"/>
    <w:rsid w:val="3A592E7D"/>
    <w:rsid w:val="3A697F61"/>
    <w:rsid w:val="3A6A6183"/>
    <w:rsid w:val="3A7C4EDB"/>
    <w:rsid w:val="3A841D49"/>
    <w:rsid w:val="3A8E73B5"/>
    <w:rsid w:val="3ABF7602"/>
    <w:rsid w:val="3B1503AA"/>
    <w:rsid w:val="3B26699F"/>
    <w:rsid w:val="3B6D4C4F"/>
    <w:rsid w:val="3B712D46"/>
    <w:rsid w:val="3B931CFA"/>
    <w:rsid w:val="3BAB0D0E"/>
    <w:rsid w:val="3BB32B47"/>
    <w:rsid w:val="3C1347F2"/>
    <w:rsid w:val="3C22352C"/>
    <w:rsid w:val="3C4318C6"/>
    <w:rsid w:val="3C8C0249"/>
    <w:rsid w:val="3C8C084E"/>
    <w:rsid w:val="3C94405C"/>
    <w:rsid w:val="3C956908"/>
    <w:rsid w:val="3C9A0D07"/>
    <w:rsid w:val="3C9A6656"/>
    <w:rsid w:val="3CB52938"/>
    <w:rsid w:val="3CD239CA"/>
    <w:rsid w:val="3D232DCF"/>
    <w:rsid w:val="3D374B37"/>
    <w:rsid w:val="3D4E22CA"/>
    <w:rsid w:val="3D50184F"/>
    <w:rsid w:val="3D7325E5"/>
    <w:rsid w:val="3D735B7A"/>
    <w:rsid w:val="3D78149C"/>
    <w:rsid w:val="3D8201D4"/>
    <w:rsid w:val="3D8E14EF"/>
    <w:rsid w:val="3D913250"/>
    <w:rsid w:val="3DAF1FB6"/>
    <w:rsid w:val="3DB063F5"/>
    <w:rsid w:val="3DC52487"/>
    <w:rsid w:val="3DD16F67"/>
    <w:rsid w:val="3DD51F9A"/>
    <w:rsid w:val="3DED7F1A"/>
    <w:rsid w:val="3DF93DFB"/>
    <w:rsid w:val="3E015E7D"/>
    <w:rsid w:val="3E145167"/>
    <w:rsid w:val="3E2326FD"/>
    <w:rsid w:val="3E243799"/>
    <w:rsid w:val="3E3E2180"/>
    <w:rsid w:val="3E5C047D"/>
    <w:rsid w:val="3E6C6F73"/>
    <w:rsid w:val="3E7A7641"/>
    <w:rsid w:val="3E8F6F6E"/>
    <w:rsid w:val="3E911326"/>
    <w:rsid w:val="3E92570D"/>
    <w:rsid w:val="3EA70B9E"/>
    <w:rsid w:val="3EA87FE5"/>
    <w:rsid w:val="3EB23B95"/>
    <w:rsid w:val="3EB9230F"/>
    <w:rsid w:val="3EC35BB9"/>
    <w:rsid w:val="3ED64531"/>
    <w:rsid w:val="3ED76318"/>
    <w:rsid w:val="3EE362BA"/>
    <w:rsid w:val="3EE66D75"/>
    <w:rsid w:val="3EF44839"/>
    <w:rsid w:val="3F0D35E6"/>
    <w:rsid w:val="3F3377BB"/>
    <w:rsid w:val="3F5F3C16"/>
    <w:rsid w:val="3F687A50"/>
    <w:rsid w:val="3F7627DD"/>
    <w:rsid w:val="3F7D487C"/>
    <w:rsid w:val="3F7F33E6"/>
    <w:rsid w:val="3F8532A3"/>
    <w:rsid w:val="3F8B29E6"/>
    <w:rsid w:val="3F9C1D3B"/>
    <w:rsid w:val="3FA20A64"/>
    <w:rsid w:val="3FC85833"/>
    <w:rsid w:val="3FDF3BD3"/>
    <w:rsid w:val="3FEE554A"/>
    <w:rsid w:val="40180746"/>
    <w:rsid w:val="401B368C"/>
    <w:rsid w:val="402B533D"/>
    <w:rsid w:val="403A6F75"/>
    <w:rsid w:val="405B1D02"/>
    <w:rsid w:val="40743A5A"/>
    <w:rsid w:val="40745430"/>
    <w:rsid w:val="40920E0C"/>
    <w:rsid w:val="40C83234"/>
    <w:rsid w:val="40D15A1A"/>
    <w:rsid w:val="410F5C51"/>
    <w:rsid w:val="411E6873"/>
    <w:rsid w:val="41271921"/>
    <w:rsid w:val="416B13C2"/>
    <w:rsid w:val="416E29A7"/>
    <w:rsid w:val="417B406D"/>
    <w:rsid w:val="418D157A"/>
    <w:rsid w:val="41903234"/>
    <w:rsid w:val="419F2970"/>
    <w:rsid w:val="41B71360"/>
    <w:rsid w:val="41D443E3"/>
    <w:rsid w:val="41DD4831"/>
    <w:rsid w:val="420545EB"/>
    <w:rsid w:val="42157058"/>
    <w:rsid w:val="423175FC"/>
    <w:rsid w:val="42447427"/>
    <w:rsid w:val="4272193B"/>
    <w:rsid w:val="428E4196"/>
    <w:rsid w:val="42DF4317"/>
    <w:rsid w:val="43180977"/>
    <w:rsid w:val="4335211E"/>
    <w:rsid w:val="43371F7A"/>
    <w:rsid w:val="43416B5A"/>
    <w:rsid w:val="434B73B0"/>
    <w:rsid w:val="437133FF"/>
    <w:rsid w:val="43964349"/>
    <w:rsid w:val="439A144A"/>
    <w:rsid w:val="439F1D6A"/>
    <w:rsid w:val="43A5102E"/>
    <w:rsid w:val="43AB2A73"/>
    <w:rsid w:val="43B11C22"/>
    <w:rsid w:val="43B85B6E"/>
    <w:rsid w:val="43BA639A"/>
    <w:rsid w:val="43C205A2"/>
    <w:rsid w:val="43D84DDE"/>
    <w:rsid w:val="43EE77AB"/>
    <w:rsid w:val="4413665F"/>
    <w:rsid w:val="44244675"/>
    <w:rsid w:val="44271D9B"/>
    <w:rsid w:val="442930CE"/>
    <w:rsid w:val="443426E0"/>
    <w:rsid w:val="444C60E1"/>
    <w:rsid w:val="449B2C31"/>
    <w:rsid w:val="44D26D22"/>
    <w:rsid w:val="44D62BCC"/>
    <w:rsid w:val="44DF696B"/>
    <w:rsid w:val="44EC08BF"/>
    <w:rsid w:val="44F4757A"/>
    <w:rsid w:val="44F61242"/>
    <w:rsid w:val="45076D45"/>
    <w:rsid w:val="4514759E"/>
    <w:rsid w:val="453E1823"/>
    <w:rsid w:val="454C2B42"/>
    <w:rsid w:val="456912D9"/>
    <w:rsid w:val="45775C6D"/>
    <w:rsid w:val="458C3043"/>
    <w:rsid w:val="45905A5D"/>
    <w:rsid w:val="45D1124E"/>
    <w:rsid w:val="45D96F83"/>
    <w:rsid w:val="45E5226C"/>
    <w:rsid w:val="45FE270B"/>
    <w:rsid w:val="46013C2A"/>
    <w:rsid w:val="46023F9E"/>
    <w:rsid w:val="460346EA"/>
    <w:rsid w:val="46051CB9"/>
    <w:rsid w:val="4619664B"/>
    <w:rsid w:val="46257BD6"/>
    <w:rsid w:val="462E543A"/>
    <w:rsid w:val="46327668"/>
    <w:rsid w:val="46420BD5"/>
    <w:rsid w:val="46557C68"/>
    <w:rsid w:val="465D35FD"/>
    <w:rsid w:val="465F7485"/>
    <w:rsid w:val="46643879"/>
    <w:rsid w:val="46875906"/>
    <w:rsid w:val="468E3D86"/>
    <w:rsid w:val="46931299"/>
    <w:rsid w:val="469647BE"/>
    <w:rsid w:val="46A10F69"/>
    <w:rsid w:val="46AA0343"/>
    <w:rsid w:val="46AA5091"/>
    <w:rsid w:val="46B30615"/>
    <w:rsid w:val="46B67C64"/>
    <w:rsid w:val="46C33E62"/>
    <w:rsid w:val="46C86872"/>
    <w:rsid w:val="46CC4128"/>
    <w:rsid w:val="46EC21E4"/>
    <w:rsid w:val="46F93E0F"/>
    <w:rsid w:val="46FF5C61"/>
    <w:rsid w:val="471914A6"/>
    <w:rsid w:val="471B28CA"/>
    <w:rsid w:val="471C6685"/>
    <w:rsid w:val="474514DC"/>
    <w:rsid w:val="47493E32"/>
    <w:rsid w:val="47497450"/>
    <w:rsid w:val="47617007"/>
    <w:rsid w:val="4762505A"/>
    <w:rsid w:val="476C5B2A"/>
    <w:rsid w:val="47C06AC2"/>
    <w:rsid w:val="47CE7B79"/>
    <w:rsid w:val="481517BD"/>
    <w:rsid w:val="48166543"/>
    <w:rsid w:val="48201B64"/>
    <w:rsid w:val="4831528E"/>
    <w:rsid w:val="485803E9"/>
    <w:rsid w:val="486808A6"/>
    <w:rsid w:val="48706F75"/>
    <w:rsid w:val="487B5A1E"/>
    <w:rsid w:val="48910232"/>
    <w:rsid w:val="489B070B"/>
    <w:rsid w:val="48B519FC"/>
    <w:rsid w:val="492B6B96"/>
    <w:rsid w:val="49354B24"/>
    <w:rsid w:val="49397DDB"/>
    <w:rsid w:val="49402E09"/>
    <w:rsid w:val="49505505"/>
    <w:rsid w:val="49642035"/>
    <w:rsid w:val="49686311"/>
    <w:rsid w:val="498F7B2A"/>
    <w:rsid w:val="499D5953"/>
    <w:rsid w:val="49A3785C"/>
    <w:rsid w:val="49A602E1"/>
    <w:rsid w:val="49A8018E"/>
    <w:rsid w:val="49B95283"/>
    <w:rsid w:val="49CC2F93"/>
    <w:rsid w:val="49CD5DB2"/>
    <w:rsid w:val="49D97E85"/>
    <w:rsid w:val="4A0F572A"/>
    <w:rsid w:val="4A324C1F"/>
    <w:rsid w:val="4A3D3D13"/>
    <w:rsid w:val="4A425D7C"/>
    <w:rsid w:val="4A535058"/>
    <w:rsid w:val="4ACC30F8"/>
    <w:rsid w:val="4AF2300F"/>
    <w:rsid w:val="4AF37725"/>
    <w:rsid w:val="4AF6720E"/>
    <w:rsid w:val="4AFC1D48"/>
    <w:rsid w:val="4B226B16"/>
    <w:rsid w:val="4B4C7C18"/>
    <w:rsid w:val="4B4D5E42"/>
    <w:rsid w:val="4B6123A1"/>
    <w:rsid w:val="4B6D3965"/>
    <w:rsid w:val="4B996DDA"/>
    <w:rsid w:val="4BC71D73"/>
    <w:rsid w:val="4BD32E86"/>
    <w:rsid w:val="4BE22B1B"/>
    <w:rsid w:val="4BED2FF3"/>
    <w:rsid w:val="4BEE4EEC"/>
    <w:rsid w:val="4C0030B9"/>
    <w:rsid w:val="4C0A0C5E"/>
    <w:rsid w:val="4C284640"/>
    <w:rsid w:val="4C2E1CFC"/>
    <w:rsid w:val="4C343E23"/>
    <w:rsid w:val="4D256D79"/>
    <w:rsid w:val="4D2C0F4D"/>
    <w:rsid w:val="4D35039A"/>
    <w:rsid w:val="4D4334DE"/>
    <w:rsid w:val="4D433F1D"/>
    <w:rsid w:val="4D9521D6"/>
    <w:rsid w:val="4DB479AA"/>
    <w:rsid w:val="4DC00CFD"/>
    <w:rsid w:val="4DD04EC4"/>
    <w:rsid w:val="4DD53442"/>
    <w:rsid w:val="4DE01984"/>
    <w:rsid w:val="4DEF1373"/>
    <w:rsid w:val="4DEF4F2F"/>
    <w:rsid w:val="4E090858"/>
    <w:rsid w:val="4E175C4C"/>
    <w:rsid w:val="4E24246D"/>
    <w:rsid w:val="4E6867E7"/>
    <w:rsid w:val="4E954E7A"/>
    <w:rsid w:val="4E9C31C7"/>
    <w:rsid w:val="4EA45D84"/>
    <w:rsid w:val="4EBC3761"/>
    <w:rsid w:val="4EDE33F7"/>
    <w:rsid w:val="4EDF3483"/>
    <w:rsid w:val="4EDF56B6"/>
    <w:rsid w:val="4EE36A17"/>
    <w:rsid w:val="4EE76E18"/>
    <w:rsid w:val="4EED43E5"/>
    <w:rsid w:val="4EF231D2"/>
    <w:rsid w:val="4EF26AF0"/>
    <w:rsid w:val="4EF6212C"/>
    <w:rsid w:val="4EF66725"/>
    <w:rsid w:val="4F15782A"/>
    <w:rsid w:val="4F1A5A74"/>
    <w:rsid w:val="4F1E3936"/>
    <w:rsid w:val="4F252363"/>
    <w:rsid w:val="4F281FA6"/>
    <w:rsid w:val="4F3B04F1"/>
    <w:rsid w:val="4F4D77D1"/>
    <w:rsid w:val="4F8A154E"/>
    <w:rsid w:val="4FAD71EF"/>
    <w:rsid w:val="4FBE1F3A"/>
    <w:rsid w:val="4FD33FAF"/>
    <w:rsid w:val="4FD5329A"/>
    <w:rsid w:val="4FDF6200"/>
    <w:rsid w:val="4FE64718"/>
    <w:rsid w:val="4FFC56DB"/>
    <w:rsid w:val="4FFD42C8"/>
    <w:rsid w:val="4FFD766C"/>
    <w:rsid w:val="500534EE"/>
    <w:rsid w:val="50106ABA"/>
    <w:rsid w:val="502B3C85"/>
    <w:rsid w:val="502E5C69"/>
    <w:rsid w:val="503669E2"/>
    <w:rsid w:val="50397C6E"/>
    <w:rsid w:val="503D05D8"/>
    <w:rsid w:val="5053218E"/>
    <w:rsid w:val="505445D5"/>
    <w:rsid w:val="50683B01"/>
    <w:rsid w:val="506E3EA5"/>
    <w:rsid w:val="50814EF1"/>
    <w:rsid w:val="509C5559"/>
    <w:rsid w:val="50A96369"/>
    <w:rsid w:val="50B662EE"/>
    <w:rsid w:val="50B70BB0"/>
    <w:rsid w:val="50D92D85"/>
    <w:rsid w:val="50EF479A"/>
    <w:rsid w:val="5116292F"/>
    <w:rsid w:val="512F558F"/>
    <w:rsid w:val="5143307B"/>
    <w:rsid w:val="515354C3"/>
    <w:rsid w:val="516D756C"/>
    <w:rsid w:val="51822B24"/>
    <w:rsid w:val="518379C7"/>
    <w:rsid w:val="5198047F"/>
    <w:rsid w:val="519F68B4"/>
    <w:rsid w:val="51F56F38"/>
    <w:rsid w:val="51FC2FD9"/>
    <w:rsid w:val="52037F74"/>
    <w:rsid w:val="52103E68"/>
    <w:rsid w:val="52225A02"/>
    <w:rsid w:val="52340AE0"/>
    <w:rsid w:val="5235202F"/>
    <w:rsid w:val="52420AD0"/>
    <w:rsid w:val="525F331C"/>
    <w:rsid w:val="526C23D8"/>
    <w:rsid w:val="526E1F91"/>
    <w:rsid w:val="52954EE1"/>
    <w:rsid w:val="52AC69FF"/>
    <w:rsid w:val="52CD0E6D"/>
    <w:rsid w:val="52D82D24"/>
    <w:rsid w:val="530F5079"/>
    <w:rsid w:val="531C3D88"/>
    <w:rsid w:val="531D12DC"/>
    <w:rsid w:val="532F6D06"/>
    <w:rsid w:val="533A328B"/>
    <w:rsid w:val="533D24ED"/>
    <w:rsid w:val="534C2229"/>
    <w:rsid w:val="534C5ECF"/>
    <w:rsid w:val="534E6B0B"/>
    <w:rsid w:val="538358F2"/>
    <w:rsid w:val="539C664F"/>
    <w:rsid w:val="53C46542"/>
    <w:rsid w:val="53DE204C"/>
    <w:rsid w:val="53EE716B"/>
    <w:rsid w:val="54287FE5"/>
    <w:rsid w:val="54351560"/>
    <w:rsid w:val="54631491"/>
    <w:rsid w:val="54720989"/>
    <w:rsid w:val="548426BE"/>
    <w:rsid w:val="54843B09"/>
    <w:rsid w:val="54B400D2"/>
    <w:rsid w:val="54C06DA5"/>
    <w:rsid w:val="54C567A6"/>
    <w:rsid w:val="54D91531"/>
    <w:rsid w:val="54E275C2"/>
    <w:rsid w:val="54F95730"/>
    <w:rsid w:val="55000BA2"/>
    <w:rsid w:val="55134230"/>
    <w:rsid w:val="55303515"/>
    <w:rsid w:val="554859C7"/>
    <w:rsid w:val="554E3C6B"/>
    <w:rsid w:val="5559226E"/>
    <w:rsid w:val="55753A7A"/>
    <w:rsid w:val="55805836"/>
    <w:rsid w:val="559B1181"/>
    <w:rsid w:val="559D5444"/>
    <w:rsid w:val="55AD414D"/>
    <w:rsid w:val="55B30423"/>
    <w:rsid w:val="55B33B99"/>
    <w:rsid w:val="55CA0A3E"/>
    <w:rsid w:val="55CB0D6B"/>
    <w:rsid w:val="55D63A2F"/>
    <w:rsid w:val="55E94899"/>
    <w:rsid w:val="5617448E"/>
    <w:rsid w:val="561F6A5D"/>
    <w:rsid w:val="56525496"/>
    <w:rsid w:val="56682145"/>
    <w:rsid w:val="569D6698"/>
    <w:rsid w:val="56AB54A3"/>
    <w:rsid w:val="56CD470E"/>
    <w:rsid w:val="56D066F3"/>
    <w:rsid w:val="56E01EFE"/>
    <w:rsid w:val="571D387C"/>
    <w:rsid w:val="571E5478"/>
    <w:rsid w:val="57387C5D"/>
    <w:rsid w:val="5745138C"/>
    <w:rsid w:val="574A7459"/>
    <w:rsid w:val="576B549A"/>
    <w:rsid w:val="57740DDA"/>
    <w:rsid w:val="577C2B75"/>
    <w:rsid w:val="57C16091"/>
    <w:rsid w:val="57C747C6"/>
    <w:rsid w:val="57E17DD9"/>
    <w:rsid w:val="57E93334"/>
    <w:rsid w:val="57F26D57"/>
    <w:rsid w:val="582E2FCF"/>
    <w:rsid w:val="583A39F9"/>
    <w:rsid w:val="58475F7B"/>
    <w:rsid w:val="585B490D"/>
    <w:rsid w:val="58601BD9"/>
    <w:rsid w:val="586546EC"/>
    <w:rsid w:val="5878410E"/>
    <w:rsid w:val="5888598F"/>
    <w:rsid w:val="58952D18"/>
    <w:rsid w:val="589D6D83"/>
    <w:rsid w:val="58A07656"/>
    <w:rsid w:val="58A631A7"/>
    <w:rsid w:val="58D638B1"/>
    <w:rsid w:val="58EE4075"/>
    <w:rsid w:val="58FD1C19"/>
    <w:rsid w:val="59166B54"/>
    <w:rsid w:val="59346A44"/>
    <w:rsid w:val="59376F2D"/>
    <w:rsid w:val="5946313F"/>
    <w:rsid w:val="59583032"/>
    <w:rsid w:val="597B5337"/>
    <w:rsid w:val="59961C2B"/>
    <w:rsid w:val="599C4EE9"/>
    <w:rsid w:val="59ED2D58"/>
    <w:rsid w:val="5A2B42F5"/>
    <w:rsid w:val="5A3B31CD"/>
    <w:rsid w:val="5A582D49"/>
    <w:rsid w:val="5A6F58EE"/>
    <w:rsid w:val="5A8D3863"/>
    <w:rsid w:val="5AA91E99"/>
    <w:rsid w:val="5AB523F1"/>
    <w:rsid w:val="5AB90F48"/>
    <w:rsid w:val="5AD31770"/>
    <w:rsid w:val="5B1A5135"/>
    <w:rsid w:val="5B1B11FA"/>
    <w:rsid w:val="5B1C5B3D"/>
    <w:rsid w:val="5B23040F"/>
    <w:rsid w:val="5B284651"/>
    <w:rsid w:val="5B2E68FC"/>
    <w:rsid w:val="5B2F3F09"/>
    <w:rsid w:val="5B3F2FD5"/>
    <w:rsid w:val="5B4B4CBA"/>
    <w:rsid w:val="5B5F5AD2"/>
    <w:rsid w:val="5B6753A6"/>
    <w:rsid w:val="5B6A0D12"/>
    <w:rsid w:val="5B6D7B8E"/>
    <w:rsid w:val="5B7228BE"/>
    <w:rsid w:val="5B9419BE"/>
    <w:rsid w:val="5B9F0C36"/>
    <w:rsid w:val="5BA47D59"/>
    <w:rsid w:val="5BAE4F74"/>
    <w:rsid w:val="5BCE032C"/>
    <w:rsid w:val="5BEF3045"/>
    <w:rsid w:val="5BFB2294"/>
    <w:rsid w:val="5BFE240E"/>
    <w:rsid w:val="5C1464F9"/>
    <w:rsid w:val="5C2864B2"/>
    <w:rsid w:val="5C52190F"/>
    <w:rsid w:val="5C53059E"/>
    <w:rsid w:val="5C791D27"/>
    <w:rsid w:val="5C891475"/>
    <w:rsid w:val="5C91723E"/>
    <w:rsid w:val="5CA02A22"/>
    <w:rsid w:val="5CA86B02"/>
    <w:rsid w:val="5CB132AC"/>
    <w:rsid w:val="5CD02DC2"/>
    <w:rsid w:val="5CDC4E73"/>
    <w:rsid w:val="5CEA7C1A"/>
    <w:rsid w:val="5CF8090C"/>
    <w:rsid w:val="5CFC112F"/>
    <w:rsid w:val="5D254C85"/>
    <w:rsid w:val="5D2B7398"/>
    <w:rsid w:val="5D310DE0"/>
    <w:rsid w:val="5D3D098E"/>
    <w:rsid w:val="5D4C4D36"/>
    <w:rsid w:val="5D7030C2"/>
    <w:rsid w:val="5D726C2F"/>
    <w:rsid w:val="5DB02186"/>
    <w:rsid w:val="5DB26E3A"/>
    <w:rsid w:val="5DBC1014"/>
    <w:rsid w:val="5DEA164E"/>
    <w:rsid w:val="5DF0158D"/>
    <w:rsid w:val="5DFB2BA0"/>
    <w:rsid w:val="5E080525"/>
    <w:rsid w:val="5E0D248E"/>
    <w:rsid w:val="5E296DCE"/>
    <w:rsid w:val="5E4630FE"/>
    <w:rsid w:val="5E492247"/>
    <w:rsid w:val="5E4A027E"/>
    <w:rsid w:val="5E950BE6"/>
    <w:rsid w:val="5E9D411B"/>
    <w:rsid w:val="5EA27C7D"/>
    <w:rsid w:val="5EEF7195"/>
    <w:rsid w:val="5F245473"/>
    <w:rsid w:val="5F2A7157"/>
    <w:rsid w:val="5F3C45A5"/>
    <w:rsid w:val="5F485BC1"/>
    <w:rsid w:val="5F743ACB"/>
    <w:rsid w:val="5FA03E97"/>
    <w:rsid w:val="5FDB4FDB"/>
    <w:rsid w:val="5FDB7822"/>
    <w:rsid w:val="600639A8"/>
    <w:rsid w:val="60076283"/>
    <w:rsid w:val="600C561A"/>
    <w:rsid w:val="60302216"/>
    <w:rsid w:val="60377987"/>
    <w:rsid w:val="603A0F5A"/>
    <w:rsid w:val="60654FB1"/>
    <w:rsid w:val="606E4A60"/>
    <w:rsid w:val="60A043BD"/>
    <w:rsid w:val="60B05500"/>
    <w:rsid w:val="60D155B2"/>
    <w:rsid w:val="60D166C4"/>
    <w:rsid w:val="610C4B38"/>
    <w:rsid w:val="612044C6"/>
    <w:rsid w:val="61614CFD"/>
    <w:rsid w:val="617C131A"/>
    <w:rsid w:val="619C7D6C"/>
    <w:rsid w:val="61AB2C3A"/>
    <w:rsid w:val="624731E8"/>
    <w:rsid w:val="624D7CEA"/>
    <w:rsid w:val="625A211F"/>
    <w:rsid w:val="62685D24"/>
    <w:rsid w:val="6278361B"/>
    <w:rsid w:val="62872F4F"/>
    <w:rsid w:val="628A246F"/>
    <w:rsid w:val="628E03BF"/>
    <w:rsid w:val="6291369E"/>
    <w:rsid w:val="6298513A"/>
    <w:rsid w:val="629F349F"/>
    <w:rsid w:val="62C71C01"/>
    <w:rsid w:val="631018DF"/>
    <w:rsid w:val="635471B1"/>
    <w:rsid w:val="635D5310"/>
    <w:rsid w:val="637150E8"/>
    <w:rsid w:val="63783C9D"/>
    <w:rsid w:val="63A60E9E"/>
    <w:rsid w:val="63B51FF8"/>
    <w:rsid w:val="63C47BA0"/>
    <w:rsid w:val="63D41D61"/>
    <w:rsid w:val="63E03F82"/>
    <w:rsid w:val="63EF6B2D"/>
    <w:rsid w:val="63F4575D"/>
    <w:rsid w:val="63F649E0"/>
    <w:rsid w:val="641236FA"/>
    <w:rsid w:val="641F732A"/>
    <w:rsid w:val="64286E42"/>
    <w:rsid w:val="642D65D7"/>
    <w:rsid w:val="643938F2"/>
    <w:rsid w:val="644240A7"/>
    <w:rsid w:val="6443370D"/>
    <w:rsid w:val="64492AE3"/>
    <w:rsid w:val="64697A01"/>
    <w:rsid w:val="64717A74"/>
    <w:rsid w:val="64832724"/>
    <w:rsid w:val="649568FF"/>
    <w:rsid w:val="64B44B6E"/>
    <w:rsid w:val="64DA07E3"/>
    <w:rsid w:val="64EA4A01"/>
    <w:rsid w:val="64F40F90"/>
    <w:rsid w:val="655541EE"/>
    <w:rsid w:val="655910E2"/>
    <w:rsid w:val="655D3289"/>
    <w:rsid w:val="65661204"/>
    <w:rsid w:val="657C2E8E"/>
    <w:rsid w:val="65855997"/>
    <w:rsid w:val="659332B3"/>
    <w:rsid w:val="65E56911"/>
    <w:rsid w:val="65E91F46"/>
    <w:rsid w:val="65FE787F"/>
    <w:rsid w:val="6600354C"/>
    <w:rsid w:val="660408B5"/>
    <w:rsid w:val="660E0B75"/>
    <w:rsid w:val="661A7171"/>
    <w:rsid w:val="661D2FD7"/>
    <w:rsid w:val="662E262D"/>
    <w:rsid w:val="66480187"/>
    <w:rsid w:val="66533F6E"/>
    <w:rsid w:val="665538A5"/>
    <w:rsid w:val="66570051"/>
    <w:rsid w:val="665D5AD5"/>
    <w:rsid w:val="66AE18D7"/>
    <w:rsid w:val="66C364D2"/>
    <w:rsid w:val="66CF6B22"/>
    <w:rsid w:val="66D614F6"/>
    <w:rsid w:val="66EF70E1"/>
    <w:rsid w:val="67015463"/>
    <w:rsid w:val="6715541E"/>
    <w:rsid w:val="671D1B49"/>
    <w:rsid w:val="67270A0F"/>
    <w:rsid w:val="673F339A"/>
    <w:rsid w:val="675027DD"/>
    <w:rsid w:val="67830FE7"/>
    <w:rsid w:val="679C74C6"/>
    <w:rsid w:val="67B6397B"/>
    <w:rsid w:val="67DE439C"/>
    <w:rsid w:val="67EB660D"/>
    <w:rsid w:val="68001E30"/>
    <w:rsid w:val="68053934"/>
    <w:rsid w:val="6812618B"/>
    <w:rsid w:val="68466636"/>
    <w:rsid w:val="684F5D2F"/>
    <w:rsid w:val="68733F68"/>
    <w:rsid w:val="68B25586"/>
    <w:rsid w:val="68B3527D"/>
    <w:rsid w:val="68E64F68"/>
    <w:rsid w:val="6903095A"/>
    <w:rsid w:val="690C6FF8"/>
    <w:rsid w:val="69386017"/>
    <w:rsid w:val="69401A7C"/>
    <w:rsid w:val="69697B51"/>
    <w:rsid w:val="697D2C73"/>
    <w:rsid w:val="69870743"/>
    <w:rsid w:val="69873E0E"/>
    <w:rsid w:val="698B6777"/>
    <w:rsid w:val="69AB7A3A"/>
    <w:rsid w:val="69B6726D"/>
    <w:rsid w:val="69B758E3"/>
    <w:rsid w:val="69CE08F7"/>
    <w:rsid w:val="69CF1842"/>
    <w:rsid w:val="69CF3649"/>
    <w:rsid w:val="69D3151D"/>
    <w:rsid w:val="69DB143F"/>
    <w:rsid w:val="69E6759E"/>
    <w:rsid w:val="69ED3E35"/>
    <w:rsid w:val="6A0E50F8"/>
    <w:rsid w:val="6A2B155F"/>
    <w:rsid w:val="6A8949F9"/>
    <w:rsid w:val="6A9308CD"/>
    <w:rsid w:val="6A9560EB"/>
    <w:rsid w:val="6AB16CAC"/>
    <w:rsid w:val="6AC50934"/>
    <w:rsid w:val="6AE37AFE"/>
    <w:rsid w:val="6AF37597"/>
    <w:rsid w:val="6AF51EE8"/>
    <w:rsid w:val="6B1A29A3"/>
    <w:rsid w:val="6B347D22"/>
    <w:rsid w:val="6B592209"/>
    <w:rsid w:val="6B645128"/>
    <w:rsid w:val="6B6B2F4D"/>
    <w:rsid w:val="6B7344AD"/>
    <w:rsid w:val="6B902C4D"/>
    <w:rsid w:val="6B9C71B9"/>
    <w:rsid w:val="6BC125A7"/>
    <w:rsid w:val="6BD6689C"/>
    <w:rsid w:val="6BE976EF"/>
    <w:rsid w:val="6BF573F0"/>
    <w:rsid w:val="6C10733C"/>
    <w:rsid w:val="6C227B34"/>
    <w:rsid w:val="6C290559"/>
    <w:rsid w:val="6C2C5A9C"/>
    <w:rsid w:val="6C303B45"/>
    <w:rsid w:val="6C9A249D"/>
    <w:rsid w:val="6C9B6F3A"/>
    <w:rsid w:val="6CE3417C"/>
    <w:rsid w:val="6CE66243"/>
    <w:rsid w:val="6D0262E5"/>
    <w:rsid w:val="6D061943"/>
    <w:rsid w:val="6D073895"/>
    <w:rsid w:val="6D14417E"/>
    <w:rsid w:val="6D216E40"/>
    <w:rsid w:val="6D2A12DC"/>
    <w:rsid w:val="6D42296A"/>
    <w:rsid w:val="6D426025"/>
    <w:rsid w:val="6D561896"/>
    <w:rsid w:val="6D5F39B6"/>
    <w:rsid w:val="6DAC5FA5"/>
    <w:rsid w:val="6DC43E6B"/>
    <w:rsid w:val="6DFB9066"/>
    <w:rsid w:val="6E22099B"/>
    <w:rsid w:val="6E376847"/>
    <w:rsid w:val="6E3E2D0E"/>
    <w:rsid w:val="6E6510AA"/>
    <w:rsid w:val="6E672B15"/>
    <w:rsid w:val="6E6C06BC"/>
    <w:rsid w:val="6E780710"/>
    <w:rsid w:val="6E7C5A51"/>
    <w:rsid w:val="6E895D42"/>
    <w:rsid w:val="6E8B78B1"/>
    <w:rsid w:val="6EC860BC"/>
    <w:rsid w:val="6ED40612"/>
    <w:rsid w:val="6EF36674"/>
    <w:rsid w:val="6EFC0108"/>
    <w:rsid w:val="6EFD73A5"/>
    <w:rsid w:val="6F1E1C9F"/>
    <w:rsid w:val="6F235B94"/>
    <w:rsid w:val="6F85198E"/>
    <w:rsid w:val="6F9D4E74"/>
    <w:rsid w:val="6FB35B77"/>
    <w:rsid w:val="6FBE2D79"/>
    <w:rsid w:val="6FCD2B0E"/>
    <w:rsid w:val="6FE45AC7"/>
    <w:rsid w:val="6FE836FF"/>
    <w:rsid w:val="6FEA11F5"/>
    <w:rsid w:val="6FF40759"/>
    <w:rsid w:val="7006129E"/>
    <w:rsid w:val="704246D4"/>
    <w:rsid w:val="704D5682"/>
    <w:rsid w:val="70543C88"/>
    <w:rsid w:val="70576CD8"/>
    <w:rsid w:val="7058320C"/>
    <w:rsid w:val="706A290B"/>
    <w:rsid w:val="7071123E"/>
    <w:rsid w:val="708B3212"/>
    <w:rsid w:val="70A17442"/>
    <w:rsid w:val="70E12C15"/>
    <w:rsid w:val="71107674"/>
    <w:rsid w:val="71433E31"/>
    <w:rsid w:val="714F5D37"/>
    <w:rsid w:val="7155674C"/>
    <w:rsid w:val="716B788F"/>
    <w:rsid w:val="716E3CDC"/>
    <w:rsid w:val="718A76BE"/>
    <w:rsid w:val="71905160"/>
    <w:rsid w:val="71AD4FA7"/>
    <w:rsid w:val="71E07AC1"/>
    <w:rsid w:val="71E97E34"/>
    <w:rsid w:val="71F5264E"/>
    <w:rsid w:val="7204166F"/>
    <w:rsid w:val="72045B92"/>
    <w:rsid w:val="72230E14"/>
    <w:rsid w:val="72355CB6"/>
    <w:rsid w:val="723C79F5"/>
    <w:rsid w:val="72482F4E"/>
    <w:rsid w:val="72506A92"/>
    <w:rsid w:val="72522083"/>
    <w:rsid w:val="725F5946"/>
    <w:rsid w:val="72A16023"/>
    <w:rsid w:val="72AE2103"/>
    <w:rsid w:val="72CD1229"/>
    <w:rsid w:val="72D77675"/>
    <w:rsid w:val="72E840AE"/>
    <w:rsid w:val="73197115"/>
    <w:rsid w:val="733109C7"/>
    <w:rsid w:val="73341C01"/>
    <w:rsid w:val="736B3614"/>
    <w:rsid w:val="73794370"/>
    <w:rsid w:val="737E7A59"/>
    <w:rsid w:val="73937D62"/>
    <w:rsid w:val="73AA6B1F"/>
    <w:rsid w:val="73B941F0"/>
    <w:rsid w:val="73F11573"/>
    <w:rsid w:val="73F7427C"/>
    <w:rsid w:val="73FA390F"/>
    <w:rsid w:val="742D422E"/>
    <w:rsid w:val="742E3876"/>
    <w:rsid w:val="74380411"/>
    <w:rsid w:val="74381182"/>
    <w:rsid w:val="744904F8"/>
    <w:rsid w:val="745D41E9"/>
    <w:rsid w:val="7492574D"/>
    <w:rsid w:val="7492633B"/>
    <w:rsid w:val="74C230F0"/>
    <w:rsid w:val="74DE3456"/>
    <w:rsid w:val="75011970"/>
    <w:rsid w:val="75012361"/>
    <w:rsid w:val="75201A22"/>
    <w:rsid w:val="7529723F"/>
    <w:rsid w:val="753F0A40"/>
    <w:rsid w:val="754F7E15"/>
    <w:rsid w:val="75511962"/>
    <w:rsid w:val="759A5767"/>
    <w:rsid w:val="75A24BAF"/>
    <w:rsid w:val="75AF39D4"/>
    <w:rsid w:val="75B805C4"/>
    <w:rsid w:val="75C03F5C"/>
    <w:rsid w:val="75D50678"/>
    <w:rsid w:val="75F60041"/>
    <w:rsid w:val="75F848DF"/>
    <w:rsid w:val="76044B1D"/>
    <w:rsid w:val="76283EED"/>
    <w:rsid w:val="76A31EBD"/>
    <w:rsid w:val="76BD04DA"/>
    <w:rsid w:val="76EA15CD"/>
    <w:rsid w:val="771C71C3"/>
    <w:rsid w:val="771C75AF"/>
    <w:rsid w:val="7730712C"/>
    <w:rsid w:val="773816D4"/>
    <w:rsid w:val="77385295"/>
    <w:rsid w:val="77574706"/>
    <w:rsid w:val="77811CD3"/>
    <w:rsid w:val="778337DC"/>
    <w:rsid w:val="77935D3A"/>
    <w:rsid w:val="77D7177D"/>
    <w:rsid w:val="77E62A52"/>
    <w:rsid w:val="77EC01F6"/>
    <w:rsid w:val="77F245EB"/>
    <w:rsid w:val="7800416F"/>
    <w:rsid w:val="781543E5"/>
    <w:rsid w:val="781C66D6"/>
    <w:rsid w:val="783E3131"/>
    <w:rsid w:val="78457E21"/>
    <w:rsid w:val="784C4D30"/>
    <w:rsid w:val="7861462C"/>
    <w:rsid w:val="787E0A07"/>
    <w:rsid w:val="788778CC"/>
    <w:rsid w:val="78977F80"/>
    <w:rsid w:val="78BC4B6E"/>
    <w:rsid w:val="78C57D11"/>
    <w:rsid w:val="78D372CC"/>
    <w:rsid w:val="78E82F58"/>
    <w:rsid w:val="7909668C"/>
    <w:rsid w:val="791E5502"/>
    <w:rsid w:val="79312EB5"/>
    <w:rsid w:val="79344EA7"/>
    <w:rsid w:val="795A1693"/>
    <w:rsid w:val="795E7B46"/>
    <w:rsid w:val="799E418C"/>
    <w:rsid w:val="79C6176F"/>
    <w:rsid w:val="79D72A03"/>
    <w:rsid w:val="7A0F0F4B"/>
    <w:rsid w:val="7A347559"/>
    <w:rsid w:val="7A473507"/>
    <w:rsid w:val="7A5B2200"/>
    <w:rsid w:val="7A64224E"/>
    <w:rsid w:val="7A6B4124"/>
    <w:rsid w:val="7A6D0773"/>
    <w:rsid w:val="7A901483"/>
    <w:rsid w:val="7A9E6B3B"/>
    <w:rsid w:val="7AE71895"/>
    <w:rsid w:val="7B266B2C"/>
    <w:rsid w:val="7B2C5A30"/>
    <w:rsid w:val="7B2D713C"/>
    <w:rsid w:val="7B30092E"/>
    <w:rsid w:val="7B3A70A0"/>
    <w:rsid w:val="7B3C5CD3"/>
    <w:rsid w:val="7B4E75E0"/>
    <w:rsid w:val="7B514963"/>
    <w:rsid w:val="7B9F061D"/>
    <w:rsid w:val="7BA7326D"/>
    <w:rsid w:val="7BC4089D"/>
    <w:rsid w:val="7BE050EE"/>
    <w:rsid w:val="7BF96DC7"/>
    <w:rsid w:val="7C13530B"/>
    <w:rsid w:val="7C183AB6"/>
    <w:rsid w:val="7C3865E6"/>
    <w:rsid w:val="7C5C09A8"/>
    <w:rsid w:val="7C5F0919"/>
    <w:rsid w:val="7C686863"/>
    <w:rsid w:val="7C8A76F0"/>
    <w:rsid w:val="7C9E49E5"/>
    <w:rsid w:val="7CA93AA6"/>
    <w:rsid w:val="7CBB4DB2"/>
    <w:rsid w:val="7CBD32F6"/>
    <w:rsid w:val="7CC34C93"/>
    <w:rsid w:val="7CC8744C"/>
    <w:rsid w:val="7CDD7474"/>
    <w:rsid w:val="7CE048B4"/>
    <w:rsid w:val="7CF70C57"/>
    <w:rsid w:val="7CF936C4"/>
    <w:rsid w:val="7D0E30E8"/>
    <w:rsid w:val="7D746AE9"/>
    <w:rsid w:val="7D9C6571"/>
    <w:rsid w:val="7D9D46A8"/>
    <w:rsid w:val="7DB00B43"/>
    <w:rsid w:val="7DB41329"/>
    <w:rsid w:val="7DB632C4"/>
    <w:rsid w:val="7DBA5C56"/>
    <w:rsid w:val="7E121F26"/>
    <w:rsid w:val="7E134A5C"/>
    <w:rsid w:val="7E271DD1"/>
    <w:rsid w:val="7E45753F"/>
    <w:rsid w:val="7E5102A9"/>
    <w:rsid w:val="7E554D84"/>
    <w:rsid w:val="7E5F32AA"/>
    <w:rsid w:val="7E6D0AA4"/>
    <w:rsid w:val="7E880695"/>
    <w:rsid w:val="7EA852AE"/>
    <w:rsid w:val="7EB05B39"/>
    <w:rsid w:val="7EB31717"/>
    <w:rsid w:val="7EE72302"/>
    <w:rsid w:val="7EEC6D20"/>
    <w:rsid w:val="7F044E9F"/>
    <w:rsid w:val="7F057AE9"/>
    <w:rsid w:val="7F0678D1"/>
    <w:rsid w:val="7F282999"/>
    <w:rsid w:val="7F3F700F"/>
    <w:rsid w:val="7F702F81"/>
    <w:rsid w:val="7F7C0289"/>
    <w:rsid w:val="7F914319"/>
    <w:rsid w:val="7FAB2150"/>
    <w:rsid w:val="7FCF26D2"/>
    <w:rsid w:val="7FD5268E"/>
    <w:rsid w:val="7FF34174"/>
    <w:rsid w:val="7FFD01B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169"/>
    <w:qFormat/>
    <w:uiPriority w:val="0"/>
    <w:pPr>
      <w:keepNext/>
      <w:keepLines/>
      <w:spacing w:before="340" w:after="330" w:line="576" w:lineRule="auto"/>
      <w:outlineLvl w:val="0"/>
    </w:pPr>
    <w:rPr>
      <w:b/>
      <w:kern w:val="44"/>
      <w:sz w:val="28"/>
    </w:rPr>
  </w:style>
  <w:style w:type="paragraph" w:styleId="3">
    <w:name w:val="heading 2"/>
    <w:basedOn w:val="4"/>
    <w:next w:val="1"/>
    <w:link w:val="146"/>
    <w:qFormat/>
    <w:uiPriority w:val="0"/>
    <w:pPr>
      <w:spacing w:before="20" w:after="20" w:line="413" w:lineRule="auto"/>
      <w:outlineLvl w:val="1"/>
    </w:pPr>
    <w:rPr>
      <w:rFonts w:ascii="Arial" w:hAnsi="Arial" w:eastAsia="宋体"/>
      <w:b/>
      <w:sz w:val="24"/>
    </w:rPr>
  </w:style>
  <w:style w:type="paragraph" w:styleId="6">
    <w:name w:val="heading 3"/>
    <w:basedOn w:val="7"/>
    <w:next w:val="9"/>
    <w:link w:val="145"/>
    <w:qFormat/>
    <w:uiPriority w:val="0"/>
    <w:pPr>
      <w:autoSpaceDE w:val="0"/>
      <w:autoSpaceDN w:val="0"/>
      <w:adjustRightInd w:val="0"/>
      <w:spacing w:before="120" w:after="120" w:line="416" w:lineRule="atLeast"/>
      <w:outlineLvl w:val="2"/>
    </w:pPr>
    <w:rPr>
      <w:rFonts w:ascii="黑体" w:hAnsi="黑体" w:eastAsia="宋体"/>
      <w:b/>
      <w:sz w:val="21"/>
    </w:rPr>
  </w:style>
  <w:style w:type="paragraph" w:styleId="10">
    <w:name w:val="heading 4"/>
    <w:basedOn w:val="1"/>
    <w:next w:val="1"/>
    <w:link w:val="143"/>
    <w:qFormat/>
    <w:uiPriority w:val="0"/>
    <w:pPr>
      <w:keepNext/>
      <w:outlineLvl w:val="3"/>
    </w:pPr>
    <w:rPr>
      <w:kern w:val="0"/>
      <w:sz w:val="28"/>
    </w:rPr>
  </w:style>
  <w:style w:type="paragraph" w:styleId="5">
    <w:name w:val="heading 5"/>
    <w:basedOn w:val="1"/>
    <w:next w:val="1"/>
    <w:link w:val="153"/>
    <w:qFormat/>
    <w:uiPriority w:val="0"/>
    <w:pPr>
      <w:keepNext/>
      <w:keepLines/>
      <w:spacing w:before="280" w:after="290" w:line="372" w:lineRule="auto"/>
      <w:outlineLvl w:val="4"/>
    </w:pPr>
    <w:rPr>
      <w:b/>
      <w:kern w:val="0"/>
      <w:sz w:val="28"/>
    </w:rPr>
  </w:style>
  <w:style w:type="paragraph" w:styleId="8">
    <w:name w:val="heading 6"/>
    <w:basedOn w:val="1"/>
    <w:next w:val="1"/>
    <w:link w:val="175"/>
    <w:qFormat/>
    <w:uiPriority w:val="0"/>
    <w:pPr>
      <w:keepNext/>
      <w:keepLines/>
      <w:spacing w:before="240" w:after="64" w:line="317" w:lineRule="auto"/>
      <w:outlineLvl w:val="5"/>
    </w:pPr>
    <w:rPr>
      <w:rFonts w:ascii="Arial" w:hAnsi="Arial" w:eastAsia="黑体"/>
      <w:b/>
      <w:kern w:val="0"/>
      <w:sz w:val="24"/>
    </w:rPr>
  </w:style>
  <w:style w:type="paragraph" w:styleId="11">
    <w:name w:val="heading 7"/>
    <w:basedOn w:val="1"/>
    <w:next w:val="1"/>
    <w:link w:val="144"/>
    <w:qFormat/>
    <w:uiPriority w:val="0"/>
    <w:pPr>
      <w:keepNext/>
      <w:keepLines/>
      <w:spacing w:before="240" w:after="64" w:line="317" w:lineRule="auto"/>
      <w:outlineLvl w:val="6"/>
    </w:pPr>
    <w:rPr>
      <w:b/>
      <w:kern w:val="0"/>
      <w:sz w:val="24"/>
    </w:rPr>
  </w:style>
  <w:style w:type="paragraph" w:styleId="12">
    <w:name w:val="heading 8"/>
    <w:basedOn w:val="1"/>
    <w:next w:val="1"/>
    <w:link w:val="159"/>
    <w:qFormat/>
    <w:uiPriority w:val="0"/>
    <w:pPr>
      <w:keepNext/>
      <w:keepLines/>
      <w:spacing w:before="240" w:after="64" w:line="317" w:lineRule="auto"/>
      <w:outlineLvl w:val="7"/>
    </w:pPr>
    <w:rPr>
      <w:rFonts w:ascii="Arial" w:hAnsi="Arial" w:eastAsia="黑体"/>
      <w:kern w:val="0"/>
      <w:sz w:val="24"/>
    </w:rPr>
  </w:style>
  <w:style w:type="paragraph" w:styleId="13">
    <w:name w:val="heading 9"/>
    <w:basedOn w:val="1"/>
    <w:next w:val="1"/>
    <w:link w:val="129"/>
    <w:qFormat/>
    <w:uiPriority w:val="0"/>
    <w:pPr>
      <w:keepNext/>
      <w:keepLines/>
      <w:spacing w:before="240" w:after="64" w:line="317" w:lineRule="auto"/>
      <w:outlineLvl w:val="8"/>
    </w:pPr>
    <w:rPr>
      <w:rFonts w:ascii="Arial" w:hAnsi="Arial" w:eastAsia="黑体"/>
      <w:kern w:val="0"/>
      <w:sz w:val="20"/>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4">
    <w:name w:val="标题 55"/>
    <w:basedOn w:val="5"/>
    <w:qFormat/>
    <w:uiPriority w:val="0"/>
    <w:rPr>
      <w:rFonts w:ascii="方正黑体简体" w:eastAsia="方正黑体简体"/>
      <w:b w:val="0"/>
    </w:rPr>
  </w:style>
  <w:style w:type="paragraph" w:customStyle="1" w:styleId="7">
    <w:name w:val="标题 60"/>
    <w:basedOn w:val="8"/>
    <w:qFormat/>
    <w:uiPriority w:val="0"/>
    <w:pPr>
      <w:spacing w:line="319" w:lineRule="auto"/>
      <w:ind w:firstLine="200" w:firstLineChars="200"/>
    </w:pPr>
    <w:rPr>
      <w:b w:val="0"/>
    </w:rPr>
  </w:style>
  <w:style w:type="paragraph" w:styleId="9">
    <w:name w:val="Normal Indent"/>
    <w:basedOn w:val="1"/>
    <w:qFormat/>
    <w:uiPriority w:val="0"/>
    <w:pPr>
      <w:widowControl/>
      <w:ind w:firstLine="420"/>
      <w:jc w:val="left"/>
    </w:pPr>
  </w:style>
  <w:style w:type="paragraph" w:styleId="14">
    <w:name w:val="toc 7"/>
    <w:basedOn w:val="1"/>
    <w:next w:val="1"/>
    <w:qFormat/>
    <w:uiPriority w:val="0"/>
    <w:pPr>
      <w:ind w:left="2520" w:leftChars="1200"/>
    </w:pPr>
  </w:style>
  <w:style w:type="paragraph" w:styleId="15">
    <w:name w:val="Document Map"/>
    <w:basedOn w:val="1"/>
    <w:link w:val="166"/>
    <w:qFormat/>
    <w:uiPriority w:val="0"/>
    <w:rPr>
      <w:rFonts w:ascii="宋体"/>
      <w:sz w:val="18"/>
      <w:szCs w:val="18"/>
    </w:rPr>
  </w:style>
  <w:style w:type="paragraph" w:styleId="16">
    <w:name w:val="toa heading"/>
    <w:basedOn w:val="1"/>
    <w:next w:val="1"/>
    <w:qFormat/>
    <w:uiPriority w:val="99"/>
    <w:pPr>
      <w:spacing w:before="120"/>
    </w:pPr>
    <w:rPr>
      <w:rFonts w:ascii="Arial" w:hAnsi="Arial" w:cs="Arial"/>
      <w:sz w:val="24"/>
      <w:szCs w:val="24"/>
    </w:rPr>
  </w:style>
  <w:style w:type="paragraph" w:styleId="17">
    <w:name w:val="annotation text"/>
    <w:basedOn w:val="1"/>
    <w:link w:val="150"/>
    <w:qFormat/>
    <w:uiPriority w:val="0"/>
    <w:pPr>
      <w:jc w:val="left"/>
    </w:pPr>
    <w:rPr>
      <w:kern w:val="0"/>
      <w:sz w:val="20"/>
    </w:rPr>
  </w:style>
  <w:style w:type="paragraph" w:styleId="18">
    <w:name w:val="Body Text"/>
    <w:basedOn w:val="1"/>
    <w:next w:val="19"/>
    <w:link w:val="170"/>
    <w:qFormat/>
    <w:uiPriority w:val="0"/>
    <w:rPr>
      <w:kern w:val="0"/>
      <w:szCs w:val="24"/>
    </w:rPr>
  </w:style>
  <w:style w:type="paragraph" w:styleId="19">
    <w:name w:val="Body Text First Indent"/>
    <w:basedOn w:val="18"/>
    <w:next w:val="1"/>
    <w:qFormat/>
    <w:uiPriority w:val="0"/>
    <w:pPr>
      <w:ind w:firstLine="420" w:firstLineChars="100"/>
    </w:pPr>
    <w:rPr>
      <w:rFonts w:ascii="Times New Roman" w:hAnsi="Times New Roman"/>
    </w:rPr>
  </w:style>
  <w:style w:type="paragraph" w:styleId="20">
    <w:name w:val="Body Text Indent"/>
    <w:basedOn w:val="1"/>
    <w:qFormat/>
    <w:uiPriority w:val="0"/>
    <w:pPr>
      <w:spacing w:line="200" w:lineRule="atLeast"/>
      <w:ind w:firstLine="301"/>
    </w:pPr>
    <w:rPr>
      <w:rFonts w:ascii="楷体_GB2312" w:hAnsi="Times New Roman" w:eastAsia="楷体_GB2312"/>
      <w:kern w:val="0"/>
      <w:sz w:val="28"/>
    </w:rPr>
  </w:style>
  <w:style w:type="paragraph" w:styleId="21">
    <w:name w:val="List Number 3"/>
    <w:basedOn w:val="1"/>
    <w:qFormat/>
    <w:uiPriority w:val="0"/>
    <w:pPr>
      <w:numPr>
        <w:ilvl w:val="0"/>
        <w:numId w:val="1"/>
      </w:numPr>
    </w:pPr>
  </w:style>
  <w:style w:type="paragraph" w:styleId="22">
    <w:name w:val="List 2"/>
    <w:basedOn w:val="1"/>
    <w:qFormat/>
    <w:uiPriority w:val="0"/>
    <w:pPr>
      <w:ind w:left="200" w:leftChars="200" w:hanging="200" w:hangingChars="200"/>
    </w:pPr>
    <w:rPr>
      <w:rFonts w:ascii="Times New Roman" w:hAnsi="Times New Roman"/>
      <w:sz w:val="28"/>
    </w:rPr>
  </w:style>
  <w:style w:type="paragraph" w:styleId="23">
    <w:name w:val="toc 5"/>
    <w:basedOn w:val="1"/>
    <w:next w:val="1"/>
    <w:qFormat/>
    <w:uiPriority w:val="0"/>
    <w:pPr>
      <w:ind w:left="1680" w:leftChars="800"/>
    </w:pPr>
  </w:style>
  <w:style w:type="paragraph" w:styleId="24">
    <w:name w:val="toc 3"/>
    <w:basedOn w:val="1"/>
    <w:next w:val="1"/>
    <w:qFormat/>
    <w:uiPriority w:val="39"/>
    <w:pPr>
      <w:widowControl/>
      <w:snapToGrid w:val="0"/>
      <w:spacing w:line="440" w:lineRule="exact"/>
      <w:ind w:left="442"/>
      <w:jc w:val="left"/>
    </w:pPr>
    <w:rPr>
      <w:kern w:val="0"/>
    </w:rPr>
  </w:style>
  <w:style w:type="paragraph" w:styleId="25">
    <w:name w:val="Plain Text"/>
    <w:basedOn w:val="1"/>
    <w:next w:val="26"/>
    <w:link w:val="174"/>
    <w:qFormat/>
    <w:uiPriority w:val="0"/>
    <w:pPr>
      <w:spacing w:before="156" w:beforeLines="50" w:after="156" w:afterLines="50" w:line="400" w:lineRule="atLeast"/>
    </w:pPr>
    <w:rPr>
      <w:rFonts w:hint="eastAsia" w:ascii="宋体" w:hAnsi="Courier New"/>
      <w:kern w:val="0"/>
    </w:rPr>
  </w:style>
  <w:style w:type="paragraph" w:styleId="26">
    <w:name w:val="index 7"/>
    <w:basedOn w:val="1"/>
    <w:next w:val="1"/>
    <w:qFormat/>
    <w:uiPriority w:val="0"/>
    <w:pPr>
      <w:ind w:left="1200" w:leftChars="1200"/>
    </w:pPr>
    <w:rPr>
      <w:szCs w:val="24"/>
    </w:rPr>
  </w:style>
  <w:style w:type="paragraph" w:styleId="27">
    <w:name w:val="toc 8"/>
    <w:basedOn w:val="1"/>
    <w:next w:val="1"/>
    <w:qFormat/>
    <w:uiPriority w:val="0"/>
    <w:pPr>
      <w:ind w:left="2940" w:leftChars="1400"/>
    </w:pPr>
  </w:style>
  <w:style w:type="paragraph" w:styleId="28">
    <w:name w:val="Date"/>
    <w:basedOn w:val="1"/>
    <w:next w:val="1"/>
    <w:link w:val="209"/>
    <w:qFormat/>
    <w:uiPriority w:val="0"/>
    <w:pPr>
      <w:ind w:left="100" w:leftChars="2500"/>
    </w:pPr>
  </w:style>
  <w:style w:type="paragraph" w:styleId="29">
    <w:name w:val="Body Text Indent 2"/>
    <w:basedOn w:val="1"/>
    <w:next w:val="30"/>
    <w:qFormat/>
    <w:uiPriority w:val="0"/>
    <w:pPr>
      <w:spacing w:line="480" w:lineRule="auto"/>
      <w:ind w:firstLine="480" w:firstLineChars="200"/>
    </w:pPr>
    <w:rPr>
      <w:rFonts w:ascii="仿宋_GB2312" w:hAnsi="宋体" w:eastAsia="仿宋_GB2312"/>
      <w:sz w:val="24"/>
    </w:rPr>
  </w:style>
  <w:style w:type="paragraph" w:customStyle="1" w:styleId="30">
    <w:name w:val="z正文"/>
    <w:basedOn w:val="25"/>
    <w:qFormat/>
    <w:uiPriority w:val="0"/>
    <w:pPr>
      <w:tabs>
        <w:tab w:val="left" w:pos="525"/>
      </w:tabs>
      <w:snapToGrid w:val="0"/>
      <w:spacing w:line="360" w:lineRule="auto"/>
    </w:pPr>
    <w:rPr>
      <w:rFonts w:ascii="Times New Roman" w:hAnsi="宋体"/>
      <w:sz w:val="24"/>
    </w:rPr>
  </w:style>
  <w:style w:type="paragraph" w:styleId="31">
    <w:name w:val="Balloon Text"/>
    <w:basedOn w:val="1"/>
    <w:link w:val="184"/>
    <w:qFormat/>
    <w:uiPriority w:val="0"/>
    <w:rPr>
      <w:kern w:val="0"/>
      <w:sz w:val="18"/>
    </w:rPr>
  </w:style>
  <w:style w:type="paragraph" w:styleId="32">
    <w:name w:val="footer"/>
    <w:basedOn w:val="1"/>
    <w:link w:val="180"/>
    <w:qFormat/>
    <w:uiPriority w:val="99"/>
    <w:pPr>
      <w:tabs>
        <w:tab w:val="center" w:pos="4153"/>
        <w:tab w:val="right" w:pos="8306"/>
      </w:tabs>
      <w:snapToGrid w:val="0"/>
      <w:jc w:val="left"/>
    </w:pPr>
    <w:rPr>
      <w:kern w:val="0"/>
      <w:sz w:val="18"/>
    </w:rPr>
  </w:style>
  <w:style w:type="paragraph" w:styleId="33">
    <w:name w:val="header"/>
    <w:basedOn w:val="1"/>
    <w:next w:val="18"/>
    <w:link w:val="157"/>
    <w:qFormat/>
    <w:uiPriority w:val="99"/>
    <w:pPr>
      <w:pBdr>
        <w:bottom w:val="single" w:color="auto" w:sz="6" w:space="1"/>
      </w:pBdr>
      <w:tabs>
        <w:tab w:val="center" w:pos="4153"/>
        <w:tab w:val="right" w:pos="8306"/>
      </w:tabs>
      <w:snapToGrid w:val="0"/>
      <w:jc w:val="center"/>
    </w:pPr>
    <w:rPr>
      <w:kern w:val="0"/>
      <w:sz w:val="18"/>
    </w:rPr>
  </w:style>
  <w:style w:type="paragraph" w:styleId="34">
    <w:name w:val="toc 1"/>
    <w:basedOn w:val="1"/>
    <w:next w:val="1"/>
    <w:qFormat/>
    <w:uiPriority w:val="39"/>
    <w:pPr>
      <w:tabs>
        <w:tab w:val="left" w:pos="360"/>
        <w:tab w:val="left" w:pos="709"/>
        <w:tab w:val="right" w:leader="dot" w:pos="8505"/>
      </w:tabs>
      <w:snapToGrid w:val="0"/>
      <w:spacing w:line="440" w:lineRule="exact"/>
      <w:jc w:val="left"/>
    </w:pPr>
  </w:style>
  <w:style w:type="paragraph" w:styleId="35">
    <w:name w:val="toc 4"/>
    <w:basedOn w:val="1"/>
    <w:next w:val="1"/>
    <w:qFormat/>
    <w:uiPriority w:val="0"/>
    <w:pPr>
      <w:ind w:left="1260" w:leftChars="600"/>
    </w:pPr>
  </w:style>
  <w:style w:type="paragraph" w:styleId="36">
    <w:name w:val="Subtitle"/>
    <w:basedOn w:val="1"/>
    <w:next w:val="1"/>
    <w:link w:val="139"/>
    <w:qFormat/>
    <w:uiPriority w:val="0"/>
    <w:pPr>
      <w:spacing w:before="240" w:after="60" w:line="312" w:lineRule="auto"/>
      <w:jc w:val="center"/>
      <w:outlineLvl w:val="1"/>
    </w:pPr>
    <w:rPr>
      <w:rFonts w:ascii="Cambria" w:hAnsi="Cambria"/>
      <w:b/>
      <w:kern w:val="28"/>
      <w:sz w:val="32"/>
    </w:rPr>
  </w:style>
  <w:style w:type="paragraph" w:styleId="37">
    <w:name w:val="footnote text"/>
    <w:basedOn w:val="1"/>
    <w:link w:val="142"/>
    <w:qFormat/>
    <w:uiPriority w:val="0"/>
    <w:pPr>
      <w:snapToGrid w:val="0"/>
      <w:jc w:val="left"/>
    </w:pPr>
    <w:rPr>
      <w:rFonts w:ascii="Verdana" w:hAnsi="Verdana"/>
      <w:sz w:val="18"/>
      <w:lang w:eastAsia="en-US"/>
    </w:rPr>
  </w:style>
  <w:style w:type="paragraph" w:styleId="38">
    <w:name w:val="toc 6"/>
    <w:basedOn w:val="1"/>
    <w:next w:val="1"/>
    <w:qFormat/>
    <w:uiPriority w:val="0"/>
    <w:pPr>
      <w:ind w:left="2100" w:leftChars="1000"/>
    </w:pPr>
  </w:style>
  <w:style w:type="paragraph" w:styleId="39">
    <w:name w:val="Body Text Indent 3"/>
    <w:basedOn w:val="1"/>
    <w:qFormat/>
    <w:uiPriority w:val="0"/>
    <w:pPr>
      <w:tabs>
        <w:tab w:val="left" w:pos="1440"/>
      </w:tabs>
      <w:spacing w:line="440" w:lineRule="exact"/>
      <w:ind w:firstLine="480" w:firstLineChars="200"/>
    </w:pPr>
    <w:rPr>
      <w:rFonts w:ascii="宋体" w:hAnsi="宋体" w:cs="Arial"/>
      <w:sz w:val="24"/>
      <w:szCs w:val="25"/>
    </w:rPr>
  </w:style>
  <w:style w:type="paragraph" w:styleId="40">
    <w:name w:val="toc 2"/>
    <w:basedOn w:val="1"/>
    <w:next w:val="1"/>
    <w:qFormat/>
    <w:uiPriority w:val="39"/>
    <w:pPr>
      <w:tabs>
        <w:tab w:val="left" w:pos="567"/>
        <w:tab w:val="right" w:leader="dot" w:pos="8505"/>
        <w:tab w:val="right" w:leader="dot" w:pos="9628"/>
      </w:tabs>
      <w:spacing w:line="440" w:lineRule="exact"/>
    </w:pPr>
  </w:style>
  <w:style w:type="paragraph" w:styleId="41">
    <w:name w:val="toc 9"/>
    <w:basedOn w:val="1"/>
    <w:next w:val="1"/>
    <w:qFormat/>
    <w:uiPriority w:val="0"/>
    <w:pPr>
      <w:ind w:left="3360" w:leftChars="1600"/>
    </w:pPr>
  </w:style>
  <w:style w:type="paragraph" w:styleId="42">
    <w:name w:val="Normal (Web)"/>
    <w:basedOn w:val="1"/>
    <w:qFormat/>
    <w:uiPriority w:val="0"/>
    <w:pPr>
      <w:widowControl/>
      <w:spacing w:before="100" w:beforeAutospacing="1" w:after="100" w:afterAutospacing="1"/>
      <w:jc w:val="left"/>
    </w:pPr>
    <w:rPr>
      <w:rFonts w:hint="eastAsia" w:ascii="宋体" w:hAnsi="宋体"/>
      <w:kern w:val="0"/>
      <w:sz w:val="24"/>
    </w:rPr>
  </w:style>
  <w:style w:type="paragraph" w:styleId="43">
    <w:name w:val="Title"/>
    <w:basedOn w:val="1"/>
    <w:next w:val="1"/>
    <w:link w:val="188"/>
    <w:qFormat/>
    <w:uiPriority w:val="0"/>
    <w:pPr>
      <w:numPr>
        <w:ilvl w:val="1"/>
        <w:numId w:val="2"/>
      </w:numPr>
      <w:spacing w:before="240" w:after="60"/>
      <w:jc w:val="center"/>
      <w:outlineLvl w:val="0"/>
    </w:pPr>
    <w:rPr>
      <w:rFonts w:ascii="Cambria" w:hAnsi="Cambria"/>
      <w:b/>
      <w:kern w:val="0"/>
      <w:sz w:val="32"/>
    </w:rPr>
  </w:style>
  <w:style w:type="paragraph" w:styleId="44">
    <w:name w:val="annotation subject"/>
    <w:basedOn w:val="17"/>
    <w:next w:val="17"/>
    <w:link w:val="179"/>
    <w:qFormat/>
    <w:uiPriority w:val="0"/>
    <w:rPr>
      <w:b/>
      <w:kern w:val="2"/>
      <w:sz w:val="21"/>
    </w:rPr>
  </w:style>
  <w:style w:type="paragraph" w:styleId="45">
    <w:name w:val="Body Text First Indent 2"/>
    <w:basedOn w:val="20"/>
    <w:qFormat/>
    <w:uiPriority w:val="0"/>
    <w:pPr>
      <w:ind w:firstLine="420" w:firstLineChars="200"/>
    </w:pPr>
  </w:style>
  <w:style w:type="table" w:styleId="47">
    <w:name w:val="Table Grid"/>
    <w:basedOn w:val="4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0"/>
    <w:rPr>
      <w:rFonts w:eastAsia="宋体"/>
      <w:bCs/>
      <w:sz w:val="24"/>
    </w:rPr>
  </w:style>
  <w:style w:type="character" w:styleId="50">
    <w:name w:val="page number"/>
    <w:basedOn w:val="48"/>
    <w:qFormat/>
    <w:uiPriority w:val="0"/>
    <w:rPr>
      <w:rFonts w:hint="default" w:ascii="Verdana" w:hAnsi="Verdana"/>
      <w:kern w:val="0"/>
      <w:sz w:val="20"/>
      <w:lang w:eastAsia="en-US"/>
    </w:rPr>
  </w:style>
  <w:style w:type="character" w:styleId="51">
    <w:name w:val="FollowedHyperlink"/>
    <w:qFormat/>
    <w:uiPriority w:val="0"/>
    <w:rPr>
      <w:rFonts w:hint="default" w:ascii="Verdana" w:hAnsi="Verdana"/>
      <w:color w:val="800080"/>
      <w:kern w:val="0"/>
      <w:sz w:val="20"/>
      <w:u w:val="single"/>
      <w:lang w:eastAsia="en-US"/>
    </w:rPr>
  </w:style>
  <w:style w:type="character" w:styleId="52">
    <w:name w:val="Emphasis"/>
    <w:basedOn w:val="48"/>
    <w:qFormat/>
    <w:uiPriority w:val="0"/>
  </w:style>
  <w:style w:type="character" w:styleId="53">
    <w:name w:val="HTML Definition"/>
    <w:basedOn w:val="48"/>
    <w:qFormat/>
    <w:uiPriority w:val="0"/>
    <w:rPr>
      <w:i/>
    </w:rPr>
  </w:style>
  <w:style w:type="character" w:styleId="54">
    <w:name w:val="Hyperlink"/>
    <w:qFormat/>
    <w:uiPriority w:val="99"/>
    <w:rPr>
      <w:rFonts w:hint="default" w:ascii="Verdana" w:hAnsi="Verdana"/>
      <w:color w:val="0000FF"/>
      <w:kern w:val="0"/>
      <w:sz w:val="20"/>
      <w:u w:val="single"/>
      <w:lang w:eastAsia="en-US"/>
    </w:rPr>
  </w:style>
  <w:style w:type="character" w:styleId="55">
    <w:name w:val="HTML Code"/>
    <w:basedOn w:val="48"/>
    <w:qFormat/>
    <w:uiPriority w:val="0"/>
    <w:rPr>
      <w:rFonts w:ascii="Consolas" w:hAnsi="Consolas" w:eastAsia="Consolas" w:cs="Consolas"/>
      <w:b/>
      <w:color w:val="C7254E"/>
      <w:sz w:val="21"/>
      <w:szCs w:val="21"/>
      <w:shd w:val="clear" w:color="auto" w:fill="F9F2F4"/>
    </w:rPr>
  </w:style>
  <w:style w:type="character" w:styleId="56">
    <w:name w:val="annotation reference"/>
    <w:qFormat/>
    <w:uiPriority w:val="0"/>
    <w:rPr>
      <w:sz w:val="21"/>
    </w:rPr>
  </w:style>
  <w:style w:type="character" w:styleId="57">
    <w:name w:val="footnote reference"/>
    <w:qFormat/>
    <w:uiPriority w:val="0"/>
    <w:rPr>
      <w:rFonts w:hint="eastAsia" w:ascii="宋体" w:hAnsi="宋体" w:eastAsia="宋体"/>
      <w:kern w:val="2"/>
      <w:sz w:val="21"/>
      <w:vertAlign w:val="superscript"/>
      <w:lang w:val="en-US" w:eastAsia="zh-CN"/>
    </w:rPr>
  </w:style>
  <w:style w:type="character" w:styleId="58">
    <w:name w:val="HTML Keyboard"/>
    <w:basedOn w:val="48"/>
    <w:qFormat/>
    <w:uiPriority w:val="0"/>
    <w:rPr>
      <w:rFonts w:hint="default" w:ascii="Consolas" w:hAnsi="Consolas" w:eastAsia="Consolas" w:cs="Consolas"/>
      <w:color w:val="FFFFFF"/>
      <w:sz w:val="21"/>
      <w:szCs w:val="21"/>
      <w:shd w:val="clear" w:color="auto" w:fill="333333"/>
    </w:rPr>
  </w:style>
  <w:style w:type="character" w:styleId="59">
    <w:name w:val="HTML Sample"/>
    <w:basedOn w:val="48"/>
    <w:qFormat/>
    <w:uiPriority w:val="0"/>
    <w:rPr>
      <w:rFonts w:hint="default" w:ascii="Consolas" w:hAnsi="Consolas" w:eastAsia="Consolas" w:cs="Consolas"/>
      <w:sz w:val="21"/>
      <w:szCs w:val="21"/>
    </w:rPr>
  </w:style>
  <w:style w:type="paragraph" w:customStyle="1" w:styleId="60">
    <w:name w:val="Body Text First Indent1"/>
    <w:basedOn w:val="18"/>
    <w:qFormat/>
    <w:uiPriority w:val="0"/>
    <w:pPr>
      <w:ind w:firstLine="420" w:firstLineChars="100"/>
    </w:pPr>
  </w:style>
  <w:style w:type="paragraph" w:customStyle="1" w:styleId="61">
    <w:name w:val="正文首行缩进 21"/>
    <w:basedOn w:val="62"/>
    <w:qFormat/>
    <w:uiPriority w:val="0"/>
    <w:pPr>
      <w:ind w:firstLine="420" w:firstLineChars="200"/>
    </w:pPr>
  </w:style>
  <w:style w:type="paragraph" w:customStyle="1" w:styleId="62">
    <w:name w:val="正文文本缩进1"/>
    <w:basedOn w:val="1"/>
    <w:qFormat/>
    <w:uiPriority w:val="0"/>
    <w:pPr>
      <w:ind w:left="420" w:leftChars="200"/>
    </w:pPr>
    <w:rPr>
      <w:rFonts w:cs="Calibri"/>
      <w:sz w:val="24"/>
      <w:szCs w:val="24"/>
    </w:rPr>
  </w:style>
  <w:style w:type="paragraph" w:customStyle="1" w:styleId="63">
    <w:name w:val="_Style 2"/>
    <w:basedOn w:val="1"/>
    <w:qFormat/>
    <w:uiPriority w:val="0"/>
    <w:pPr>
      <w:ind w:firstLine="200" w:firstLineChars="200"/>
    </w:pPr>
    <w:rPr>
      <w:sz w:val="28"/>
    </w:rPr>
  </w:style>
  <w:style w:type="paragraph" w:customStyle="1" w:styleId="64">
    <w:name w:val="列表段落1"/>
    <w:basedOn w:val="1"/>
    <w:qFormat/>
    <w:uiPriority w:val="0"/>
    <w:pPr>
      <w:ind w:firstLine="420" w:firstLineChars="200"/>
    </w:pPr>
  </w:style>
  <w:style w:type="paragraph" w:styleId="65">
    <w:name w:val="No Spacing"/>
    <w:qFormat/>
    <w:uiPriority w:val="1"/>
    <w:pPr>
      <w:widowControl w:val="0"/>
      <w:jc w:val="both"/>
    </w:pPr>
    <w:rPr>
      <w:rFonts w:ascii="Calibri" w:hAnsi="Calibri" w:eastAsia="宋体" w:cs="Times New Roman"/>
      <w:kern w:val="2"/>
      <w:sz w:val="24"/>
      <w:szCs w:val="22"/>
      <w:lang w:val="en-US" w:eastAsia="zh-CN" w:bidi="ar-SA"/>
    </w:rPr>
  </w:style>
  <w:style w:type="paragraph" w:customStyle="1" w:styleId="66">
    <w:name w:val="p0"/>
    <w:basedOn w:val="1"/>
    <w:qFormat/>
    <w:uiPriority w:val="0"/>
    <w:pPr>
      <w:widowControl/>
    </w:pPr>
    <w:rPr>
      <w:kern w:val="0"/>
    </w:rPr>
  </w:style>
  <w:style w:type="paragraph" w:customStyle="1" w:styleId="67">
    <w:name w:val="bt1bt1"/>
    <w:basedOn w:val="2"/>
    <w:qFormat/>
    <w:uiPriority w:val="0"/>
    <w:pPr>
      <w:spacing w:line="240" w:lineRule="auto"/>
      <w:jc w:val="center"/>
    </w:pPr>
    <w:rPr>
      <w:rFonts w:ascii="黑体" w:eastAsia="黑体"/>
      <w:b w:val="0"/>
      <w:sz w:val="36"/>
    </w:rPr>
  </w:style>
  <w:style w:type="paragraph" w:customStyle="1" w:styleId="68">
    <w:name w:val="Char Char Char Char Char Char Char Char Char Char Char Char Char"/>
    <w:basedOn w:val="69"/>
    <w:qFormat/>
    <w:uiPriority w:val="0"/>
    <w:pPr>
      <w:shd w:val="clear" w:color="auto" w:fill="000080"/>
    </w:pPr>
    <w:rPr>
      <w:rFonts w:ascii="Tahoma" w:hAnsi="Tahoma"/>
      <w:sz w:val="24"/>
    </w:rPr>
  </w:style>
  <w:style w:type="paragraph" w:customStyle="1" w:styleId="69">
    <w:name w:val="文档结构图1"/>
    <w:basedOn w:val="1"/>
    <w:link w:val="172"/>
    <w:qFormat/>
    <w:uiPriority w:val="0"/>
    <w:rPr>
      <w:rFonts w:ascii="宋体"/>
      <w:kern w:val="0"/>
      <w:sz w:val="18"/>
    </w:rPr>
  </w:style>
  <w:style w:type="paragraph" w:customStyle="1" w:styleId="70">
    <w:name w:val="修订1"/>
    <w:qFormat/>
    <w:uiPriority w:val="0"/>
    <w:rPr>
      <w:rFonts w:ascii="Calibri" w:hAnsi="Calibri" w:eastAsia="宋体" w:cs="Times New Roman"/>
      <w:kern w:val="2"/>
      <w:sz w:val="21"/>
      <w:lang w:val="en-US" w:eastAsia="zh-CN" w:bidi="ar-SA"/>
    </w:rPr>
  </w:style>
  <w:style w:type="paragraph" w:customStyle="1" w:styleId="71">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link w:val="155"/>
    <w:qFormat/>
    <w:uiPriority w:val="0"/>
    <w:rPr>
      <w:kern w:val="0"/>
      <w:sz w:val="20"/>
    </w:rPr>
  </w:style>
  <w:style w:type="paragraph" w:customStyle="1" w:styleId="72">
    <w:name w:val="B"/>
    <w:basedOn w:val="1"/>
    <w:link w:val="168"/>
    <w:qFormat/>
    <w:uiPriority w:val="0"/>
    <w:pPr>
      <w:tabs>
        <w:tab w:val="center" w:pos="4706"/>
        <w:tab w:val="right" w:pos="9044"/>
      </w:tabs>
      <w:topLinePunct/>
      <w:spacing w:before="160" w:after="60" w:line="312" w:lineRule="exact"/>
      <w:jc w:val="center"/>
    </w:pPr>
    <w:rPr>
      <w:rFonts w:hint="eastAsia" w:ascii="E-F1" w:hAnsi="E-F1" w:eastAsia="黑体"/>
      <w:kern w:val="0"/>
    </w:rPr>
  </w:style>
  <w:style w:type="paragraph" w:customStyle="1" w:styleId="73">
    <w:name w:val="正文段"/>
    <w:basedOn w:val="1"/>
    <w:qFormat/>
    <w:uiPriority w:val="0"/>
    <w:pPr>
      <w:widowControl/>
      <w:snapToGrid w:val="0"/>
      <w:spacing w:after="50" w:afterLines="50"/>
      <w:ind w:firstLine="200" w:firstLineChars="200"/>
    </w:pPr>
    <w:rPr>
      <w:kern w:val="0"/>
      <w:sz w:val="24"/>
    </w:rPr>
  </w:style>
  <w:style w:type="paragraph" w:customStyle="1" w:styleId="74">
    <w:name w:val="段"/>
    <w:basedOn w:val="1"/>
    <w:next w:val="1"/>
    <w:qFormat/>
    <w:uiPriority w:val="0"/>
    <w:pPr>
      <w:autoSpaceDE w:val="0"/>
      <w:autoSpaceDN w:val="0"/>
      <w:adjustRightInd w:val="0"/>
      <w:jc w:val="left"/>
    </w:pPr>
    <w:rPr>
      <w:rFonts w:hint="eastAsia" w:ascii="宋体" w:hAnsi="Times New Roman"/>
      <w:kern w:val="0"/>
      <w:sz w:val="24"/>
      <w:szCs w:val="24"/>
    </w:rPr>
  </w:style>
  <w:style w:type="paragraph" w:customStyle="1" w:styleId="75">
    <w:name w:val="正文缩进1"/>
    <w:basedOn w:val="1"/>
    <w:link w:val="185"/>
    <w:qFormat/>
    <w:uiPriority w:val="0"/>
    <w:pPr>
      <w:autoSpaceDE w:val="0"/>
      <w:autoSpaceDN w:val="0"/>
      <w:adjustRightInd w:val="0"/>
      <w:spacing w:line="315" w:lineRule="atLeast"/>
      <w:ind w:firstLine="420"/>
      <w:jc w:val="left"/>
    </w:pPr>
  </w:style>
  <w:style w:type="paragraph" w:customStyle="1" w:styleId="76">
    <w:name w:val="正文缩进11"/>
    <w:basedOn w:val="1"/>
    <w:qFormat/>
    <w:uiPriority w:val="0"/>
    <w:pPr>
      <w:spacing w:line="460" w:lineRule="exact"/>
      <w:ind w:firstLine="420"/>
    </w:pPr>
    <w:rPr>
      <w:spacing w:val="14"/>
      <w:kern w:val="24"/>
      <w:sz w:val="24"/>
    </w:rPr>
  </w:style>
  <w:style w:type="paragraph" w:customStyle="1" w:styleId="77">
    <w:name w:val="WPSOffice手动目录 2"/>
    <w:qFormat/>
    <w:uiPriority w:val="0"/>
    <w:pPr>
      <w:ind w:left="200" w:leftChars="200"/>
    </w:pPr>
    <w:rPr>
      <w:rFonts w:ascii="Calibri" w:hAnsi="Calibri" w:eastAsia="宋体" w:cs="Times New Roman"/>
      <w:lang w:val="en-US" w:eastAsia="zh-CN" w:bidi="ar-SA"/>
    </w:rPr>
  </w:style>
  <w:style w:type="paragraph" w:customStyle="1" w:styleId="78">
    <w:name w:val="正文 New New New New New New New New New"/>
    <w:basedOn w:val="1"/>
    <w:qFormat/>
    <w:uiPriority w:val="0"/>
    <w:rPr>
      <w:rFonts w:ascii="Times New Roman" w:hAnsi="Times New Roman"/>
    </w:rPr>
  </w:style>
  <w:style w:type="paragraph" w:customStyle="1" w:styleId="79">
    <w:name w:val="正文文本缩进 21"/>
    <w:basedOn w:val="1"/>
    <w:link w:val="134"/>
    <w:qFormat/>
    <w:uiPriority w:val="0"/>
    <w:pPr>
      <w:spacing w:line="480" w:lineRule="auto"/>
      <w:ind w:firstLine="480" w:firstLineChars="200"/>
    </w:pPr>
    <w:rPr>
      <w:rFonts w:ascii="仿宋_GB2312" w:hAnsi="宋体" w:eastAsia="仿宋_GB2312"/>
      <w:kern w:val="0"/>
      <w:sz w:val="24"/>
    </w:rPr>
  </w:style>
  <w:style w:type="paragraph" w:customStyle="1" w:styleId="80">
    <w:name w:val="样式 标题 2 + Times New Roman 四号 非加粗 段前: 5 磅 段后: 0 磅 行距: 固定值 20..."/>
    <w:basedOn w:val="3"/>
    <w:qFormat/>
    <w:uiPriority w:val="0"/>
    <w:pPr>
      <w:spacing w:before="100" w:after="0" w:line="400" w:lineRule="exact"/>
    </w:pPr>
    <w:rPr>
      <w:rFonts w:ascii="Times New Roman" w:hAnsi="Times New Roman"/>
      <w:b w:val="0"/>
      <w:sz w:val="28"/>
    </w:rPr>
  </w:style>
  <w:style w:type="paragraph" w:customStyle="1" w:styleId="81">
    <w:name w:val="Table Paragraph"/>
    <w:basedOn w:val="1"/>
    <w:qFormat/>
    <w:uiPriority w:val="0"/>
    <w:rPr>
      <w:rFonts w:ascii="Times New Roman" w:hAnsi="Times New Roman"/>
      <w:sz w:val="24"/>
    </w:rPr>
  </w:style>
  <w:style w:type="paragraph" w:customStyle="1" w:styleId="82">
    <w:name w:val="TOC 标题2"/>
    <w:basedOn w:val="2"/>
    <w:next w:val="1"/>
    <w:qFormat/>
    <w:uiPriority w:val="0"/>
    <w:pPr>
      <w:widowControl/>
      <w:spacing w:before="480" w:after="0" w:line="276" w:lineRule="auto"/>
      <w:jc w:val="left"/>
      <w:outlineLvl w:val="9"/>
    </w:pPr>
    <w:rPr>
      <w:rFonts w:ascii="Cambria" w:hAnsi="Cambria"/>
      <w:color w:val="365F90"/>
      <w:kern w:val="0"/>
    </w:rPr>
  </w:style>
  <w:style w:type="paragraph" w:customStyle="1" w:styleId="83">
    <w:name w:val="正文文本缩进 31"/>
    <w:basedOn w:val="1"/>
    <w:link w:val="149"/>
    <w:qFormat/>
    <w:uiPriority w:val="0"/>
    <w:pPr>
      <w:spacing w:after="120" w:line="360" w:lineRule="atLeast"/>
      <w:ind w:firstLine="720" w:firstLineChars="300"/>
    </w:pPr>
    <w:rPr>
      <w:kern w:val="0"/>
      <w:sz w:val="24"/>
    </w:rPr>
  </w:style>
  <w:style w:type="paragraph" w:customStyle="1" w:styleId="84">
    <w:name w:val="TOC 标题11"/>
    <w:basedOn w:val="2"/>
    <w:next w:val="1"/>
    <w:qFormat/>
    <w:uiPriority w:val="0"/>
    <w:pPr>
      <w:widowControl/>
      <w:spacing w:before="480" w:after="0" w:line="276" w:lineRule="auto"/>
      <w:jc w:val="left"/>
      <w:outlineLvl w:val="9"/>
    </w:pPr>
    <w:rPr>
      <w:rFonts w:ascii="Cambria" w:hAnsi="Cambria"/>
      <w:color w:val="365F91"/>
      <w:kern w:val="0"/>
    </w:rPr>
  </w:style>
  <w:style w:type="paragraph" w:customStyle="1" w:styleId="85">
    <w:name w:val="列表 21"/>
    <w:basedOn w:val="1"/>
    <w:qFormat/>
    <w:uiPriority w:val="0"/>
    <w:pPr>
      <w:ind w:left="100" w:leftChars="200" w:hanging="200" w:hangingChars="200"/>
    </w:pPr>
  </w:style>
  <w:style w:type="paragraph" w:customStyle="1" w:styleId="86">
    <w:name w:val="分项目录"/>
    <w:basedOn w:val="1"/>
    <w:qFormat/>
    <w:uiPriority w:val="0"/>
    <w:pPr>
      <w:spacing w:line="600" w:lineRule="exact"/>
    </w:pPr>
    <w:rPr>
      <w:rFonts w:ascii="宋体" w:hAnsi="宋体"/>
      <w:b/>
      <w:sz w:val="30"/>
    </w:rPr>
  </w:style>
  <w:style w:type="paragraph" w:customStyle="1" w:styleId="87">
    <w:name w:val="正文00"/>
    <w:basedOn w:val="1"/>
    <w:qFormat/>
    <w:uiPriority w:val="0"/>
    <w:pPr>
      <w:topLinePunct/>
      <w:spacing w:line="360" w:lineRule="auto"/>
      <w:ind w:firstLine="200" w:firstLineChars="200"/>
    </w:pPr>
  </w:style>
  <w:style w:type="paragraph" w:customStyle="1" w:styleId="88">
    <w:name w:val="msolistparagraph"/>
    <w:basedOn w:val="1"/>
    <w:qFormat/>
    <w:uiPriority w:val="0"/>
    <w:pPr>
      <w:ind w:firstLine="420" w:firstLineChars="200"/>
    </w:pPr>
    <w:rPr>
      <w:rFonts w:ascii="Times New Roman" w:hAnsi="Times New Roman"/>
    </w:rPr>
  </w:style>
  <w:style w:type="paragraph" w:customStyle="1" w:styleId="89">
    <w:name w:val="节"/>
    <w:basedOn w:val="3"/>
    <w:qFormat/>
    <w:uiPriority w:val="0"/>
    <w:pPr>
      <w:numPr>
        <w:ilvl w:val="1"/>
        <w:numId w:val="3"/>
      </w:numPr>
      <w:tabs>
        <w:tab w:val="left" w:pos="432"/>
        <w:tab w:val="clear" w:pos="576"/>
      </w:tabs>
      <w:spacing w:line="240" w:lineRule="auto"/>
    </w:pPr>
    <w:rPr>
      <w:rFonts w:ascii="黑体"/>
      <w:b w:val="0"/>
      <w:sz w:val="28"/>
    </w:rPr>
  </w:style>
  <w:style w:type="paragraph" w:customStyle="1" w:styleId="90">
    <w:name w:val="页脚1"/>
    <w:basedOn w:val="1"/>
    <w:qFormat/>
    <w:uiPriority w:val="0"/>
    <w:pPr>
      <w:tabs>
        <w:tab w:val="center" w:pos="4153"/>
        <w:tab w:val="right" w:pos="8306"/>
      </w:tabs>
      <w:snapToGrid w:val="0"/>
      <w:jc w:val="left"/>
    </w:pPr>
    <w:rPr>
      <w:sz w:val="18"/>
    </w:rPr>
  </w:style>
  <w:style w:type="paragraph" w:customStyle="1" w:styleId="91">
    <w:name w:val="reader-word-layer reader-word-s4-3"/>
    <w:basedOn w:val="1"/>
    <w:qFormat/>
    <w:uiPriority w:val="0"/>
    <w:pPr>
      <w:widowControl/>
      <w:spacing w:before="100" w:beforeAutospacing="1" w:after="100" w:afterAutospacing="1"/>
      <w:jc w:val="left"/>
    </w:pPr>
    <w:rPr>
      <w:rFonts w:ascii="宋体" w:hAnsi="宋体"/>
      <w:kern w:val="0"/>
      <w:sz w:val="24"/>
    </w:rPr>
  </w:style>
  <w:style w:type="paragraph" w:customStyle="1" w:styleId="92">
    <w:name w:val="_Style 83"/>
    <w:basedOn w:val="1"/>
    <w:next w:val="1"/>
    <w:qFormat/>
    <w:uiPriority w:val="0"/>
    <w:pPr>
      <w:pBdr>
        <w:bottom w:val="single" w:color="auto" w:sz="6" w:space="1"/>
      </w:pBdr>
      <w:jc w:val="center"/>
    </w:pPr>
    <w:rPr>
      <w:rFonts w:ascii="Arial"/>
      <w:vanish/>
      <w:sz w:val="16"/>
    </w:rPr>
  </w:style>
  <w:style w:type="paragraph" w:customStyle="1" w:styleId="93">
    <w:name w:val="列出段落11"/>
    <w:basedOn w:val="1"/>
    <w:qFormat/>
    <w:uiPriority w:val="0"/>
    <w:pPr>
      <w:ind w:firstLine="420" w:firstLineChars="200"/>
    </w:pPr>
  </w:style>
  <w:style w:type="paragraph" w:customStyle="1" w:styleId="94">
    <w:name w:val="文档正文"/>
    <w:basedOn w:val="1"/>
    <w:link w:val="198"/>
    <w:qFormat/>
    <w:uiPriority w:val="0"/>
    <w:pPr>
      <w:adjustRightInd w:val="0"/>
      <w:spacing w:line="480" w:lineRule="atLeast"/>
      <w:ind w:firstLine="567"/>
      <w:textAlignment w:val="baseline"/>
    </w:pPr>
    <w:rPr>
      <w:rFonts w:ascii="长城仿宋" w:eastAsia="长城仿宋"/>
      <w:kern w:val="0"/>
      <w:sz w:val="28"/>
    </w:rPr>
  </w:style>
  <w:style w:type="paragraph" w:customStyle="1" w:styleId="95">
    <w:name w:val="正文首行缩进1"/>
    <w:basedOn w:val="18"/>
    <w:qFormat/>
    <w:uiPriority w:val="0"/>
    <w:pPr>
      <w:ind w:firstLine="420" w:firstLineChars="100"/>
    </w:pPr>
  </w:style>
  <w:style w:type="paragraph" w:customStyle="1" w:styleId="96">
    <w:name w:val="WPSOffice手动目录 1"/>
    <w:link w:val="165"/>
    <w:qFormat/>
    <w:uiPriority w:val="0"/>
    <w:rPr>
      <w:rFonts w:ascii="Calibri" w:hAnsi="Calibri" w:eastAsia="宋体" w:cs="Times New Roman"/>
      <w:lang w:val="en-US" w:eastAsia="zh-CN" w:bidi="ar-SA"/>
    </w:rPr>
  </w:style>
  <w:style w:type="paragraph" w:customStyle="1" w:styleId="97">
    <w:name w:val="_Style 36"/>
    <w:basedOn w:val="1"/>
    <w:qFormat/>
    <w:uiPriority w:val="0"/>
    <w:pPr>
      <w:ind w:firstLine="420" w:firstLineChars="200"/>
    </w:pPr>
  </w:style>
  <w:style w:type="paragraph" w:customStyle="1" w:styleId="98">
    <w:name w:val="正文文本缩进2"/>
    <w:basedOn w:val="1"/>
    <w:link w:val="147"/>
    <w:qFormat/>
    <w:uiPriority w:val="0"/>
    <w:pPr>
      <w:autoSpaceDE w:val="0"/>
      <w:autoSpaceDN w:val="0"/>
      <w:adjustRightInd w:val="0"/>
      <w:spacing w:after="120" w:line="360" w:lineRule="atLeast"/>
      <w:ind w:left="900"/>
    </w:pPr>
    <w:rPr>
      <w:rFonts w:ascii="楷体_GB2312" w:eastAsia="楷体_GB2312"/>
      <w:kern w:val="0"/>
      <w:sz w:val="28"/>
    </w:rPr>
  </w:style>
  <w:style w:type="paragraph" w:customStyle="1" w:styleId="99">
    <w:name w:val="注"/>
    <w:basedOn w:val="87"/>
    <w:qFormat/>
    <w:uiPriority w:val="0"/>
    <w:pPr>
      <w:spacing w:line="288" w:lineRule="auto"/>
      <w:ind w:firstLine="0" w:firstLineChars="0"/>
    </w:pPr>
    <w:rPr>
      <w:sz w:val="20"/>
    </w:rPr>
  </w:style>
  <w:style w:type="paragraph" w:customStyle="1" w:styleId="100">
    <w:name w:val="默认段落字体 Para Char Char Char Char Char Char Char Char Char1 Char Char Char Char"/>
    <w:basedOn w:val="1"/>
    <w:qFormat/>
    <w:uiPriority w:val="0"/>
    <w:rPr>
      <w:rFonts w:ascii="Tahoma" w:hAnsi="Tahoma"/>
      <w:sz w:val="24"/>
    </w:rPr>
  </w:style>
  <w:style w:type="paragraph" w:customStyle="1" w:styleId="101">
    <w:name w:val="p19"/>
    <w:basedOn w:val="1"/>
    <w:qFormat/>
    <w:uiPriority w:val="0"/>
    <w:pPr>
      <w:ind w:left="420"/>
    </w:pPr>
  </w:style>
  <w:style w:type="paragraph" w:customStyle="1" w:styleId="102">
    <w:name w:val="列出段落1"/>
    <w:basedOn w:val="1"/>
    <w:qFormat/>
    <w:uiPriority w:val="0"/>
    <w:pPr>
      <w:ind w:firstLine="420" w:firstLineChars="200"/>
    </w:pPr>
  </w:style>
  <w:style w:type="paragraph" w:customStyle="1" w:styleId="103">
    <w:name w:val="表格文字"/>
    <w:basedOn w:val="25"/>
    <w:next w:val="18"/>
    <w:qFormat/>
    <w:uiPriority w:val="0"/>
    <w:pPr>
      <w:adjustRightInd w:val="0"/>
      <w:spacing w:line="420" w:lineRule="atLeast"/>
      <w:jc w:val="left"/>
      <w:textAlignment w:val="baseline"/>
    </w:pPr>
    <w:rPr>
      <w:rFonts w:ascii="Times New Roman" w:hAnsi="Times New Roman"/>
      <w:szCs w:val="24"/>
    </w:rPr>
  </w:style>
  <w:style w:type="paragraph" w:customStyle="1" w:styleId="104">
    <w:name w:val="正文文本首行缩进1"/>
    <w:basedOn w:val="18"/>
    <w:next w:val="1"/>
    <w:link w:val="181"/>
    <w:qFormat/>
    <w:uiPriority w:val="0"/>
    <w:pPr>
      <w:ind w:firstLine="420" w:firstLineChars="100"/>
    </w:pPr>
    <w:rPr>
      <w:rFonts w:ascii="Times New Roman" w:hAnsi="Times New Roman"/>
      <w:sz w:val="20"/>
      <w:szCs w:val="20"/>
    </w:rPr>
  </w:style>
  <w:style w:type="paragraph" w:customStyle="1" w:styleId="105">
    <w:name w:val="批注主题1"/>
    <w:basedOn w:val="17"/>
    <w:next w:val="17"/>
    <w:link w:val="136"/>
    <w:qFormat/>
    <w:uiPriority w:val="0"/>
    <w:rPr>
      <w:b/>
    </w:rPr>
  </w:style>
  <w:style w:type="paragraph" w:customStyle="1" w:styleId="106">
    <w:name w:val="d2"/>
    <w:basedOn w:val="3"/>
    <w:qFormat/>
    <w:uiPriority w:val="0"/>
    <w:pPr>
      <w:keepNext w:val="0"/>
      <w:keepLines w:val="0"/>
      <w:tabs>
        <w:tab w:val="left" w:pos="1418"/>
      </w:tabs>
      <w:topLinePunct/>
      <w:spacing w:before="0" w:after="0" w:line="480" w:lineRule="auto"/>
    </w:pPr>
    <w:rPr>
      <w:rFonts w:ascii="黑体"/>
      <w:color w:val="000000"/>
      <w:kern w:val="21"/>
      <w:sz w:val="22"/>
    </w:rPr>
  </w:style>
  <w:style w:type="paragraph" w:customStyle="1" w:styleId="107">
    <w:name w:val="WPSOffice手动目录 3"/>
    <w:qFormat/>
    <w:uiPriority w:val="0"/>
    <w:pPr>
      <w:ind w:left="400" w:leftChars="400"/>
    </w:pPr>
    <w:rPr>
      <w:rFonts w:ascii="Calibri" w:hAnsi="Calibri" w:eastAsia="宋体" w:cs="Times New Roman"/>
      <w:lang w:val="en-US" w:eastAsia="zh-CN" w:bidi="ar-SA"/>
    </w:rPr>
  </w:style>
  <w:style w:type="paragraph" w:customStyle="1" w:styleId="108">
    <w:name w:val="Default"/>
    <w:qFormat/>
    <w:uiPriority w:val="0"/>
    <w:pPr>
      <w:widowControl w:val="0"/>
      <w:autoSpaceDE w:val="0"/>
      <w:autoSpaceDN w:val="0"/>
      <w:adjustRightInd w:val="0"/>
    </w:pPr>
    <w:rPr>
      <w:rFonts w:ascii="Calibri" w:hAnsi="Calibri" w:eastAsia="宋体" w:cs="Times New Roman"/>
      <w:color w:val="000000"/>
      <w:sz w:val="24"/>
      <w:lang w:val="en-US" w:eastAsia="zh-CN" w:bidi="ar-SA"/>
    </w:rPr>
  </w:style>
  <w:style w:type="paragraph" w:customStyle="1" w:styleId="109">
    <w:name w:val="列表编号 31"/>
    <w:basedOn w:val="1"/>
    <w:qFormat/>
    <w:uiPriority w:val="0"/>
    <w:pPr>
      <w:widowControl/>
      <w:tabs>
        <w:tab w:val="left" w:pos="720"/>
      </w:tabs>
      <w:spacing w:after="156" w:afterLines="50"/>
      <w:ind w:left="720" w:hanging="360"/>
      <w:jc w:val="left"/>
    </w:pPr>
    <w:rPr>
      <w:kern w:val="0"/>
      <w:sz w:val="24"/>
    </w:rPr>
  </w:style>
  <w:style w:type="paragraph" w:customStyle="1" w:styleId="110">
    <w:name w:val="纯文本1"/>
    <w:basedOn w:val="1"/>
    <w:link w:val="186"/>
    <w:qFormat/>
    <w:uiPriority w:val="0"/>
    <w:pPr>
      <w:numPr>
        <w:ilvl w:val="2"/>
        <w:numId w:val="2"/>
      </w:numPr>
    </w:pPr>
    <w:rPr>
      <w:rFonts w:ascii="宋体" w:hAnsi="Courier New"/>
      <w:kern w:val="0"/>
      <w:sz w:val="20"/>
    </w:rPr>
  </w:style>
  <w:style w:type="paragraph" w:customStyle="1" w:styleId="111">
    <w:name w:val="样式 标题 3 + (中文) 黑体 小四 非加粗 段前: 7.8 磅 段后: 0 磅 行距: 固定值 20 磅"/>
    <w:basedOn w:val="6"/>
    <w:qFormat/>
    <w:uiPriority w:val="0"/>
    <w:pPr>
      <w:autoSpaceDE/>
      <w:autoSpaceDN/>
      <w:adjustRightInd/>
      <w:spacing w:before="0" w:after="0" w:line="400" w:lineRule="exact"/>
    </w:pPr>
    <w:rPr>
      <w:rFonts w:ascii="Times New Roman"/>
      <w:kern w:val="2"/>
      <w:sz w:val="24"/>
    </w:rPr>
  </w:style>
  <w:style w:type="paragraph" w:customStyle="1" w:styleId="112">
    <w:name w:val="TOC 标题1"/>
    <w:basedOn w:val="2"/>
    <w:next w:val="1"/>
    <w:qFormat/>
    <w:uiPriority w:val="0"/>
    <w:pPr>
      <w:widowControl/>
      <w:spacing w:before="480" w:after="0" w:line="276" w:lineRule="auto"/>
      <w:jc w:val="left"/>
      <w:outlineLvl w:val="9"/>
    </w:pPr>
    <w:rPr>
      <w:rFonts w:ascii="Cambria" w:hAnsi="Cambria"/>
      <w:color w:val="365F90"/>
      <w:kern w:val="0"/>
    </w:rPr>
  </w:style>
  <w:style w:type="paragraph" w:customStyle="1" w:styleId="113">
    <w:name w:val="标题1LZG"/>
    <w:basedOn w:val="1"/>
    <w:qFormat/>
    <w:uiPriority w:val="0"/>
    <w:pPr>
      <w:widowControl/>
      <w:jc w:val="left"/>
    </w:pPr>
    <w:rPr>
      <w:rFonts w:ascii="Times New Roman" w:hAnsi="Times New Roman"/>
      <w:kern w:val="0"/>
      <w:sz w:val="20"/>
    </w:rPr>
  </w:style>
  <w:style w:type="paragraph" w:customStyle="1" w:styleId="114">
    <w:name w:val="4h"/>
    <w:basedOn w:val="1"/>
    <w:qFormat/>
    <w:uiPriority w:val="0"/>
    <w:pPr>
      <w:topLinePunct/>
      <w:adjustRightInd w:val="0"/>
      <w:spacing w:after="156" w:afterLines="50" w:line="720" w:lineRule="auto"/>
      <w:jc w:val="center"/>
    </w:pPr>
    <w:rPr>
      <w:rFonts w:eastAsia="黑体"/>
      <w:kern w:val="21"/>
      <w:sz w:val="28"/>
    </w:rPr>
  </w:style>
  <w:style w:type="paragraph" w:customStyle="1" w:styleId="115">
    <w:name w:val="bgg"/>
    <w:basedOn w:val="1"/>
    <w:qFormat/>
    <w:uiPriority w:val="0"/>
    <w:pPr>
      <w:snapToGrid w:val="0"/>
      <w:ind w:left="52" w:leftChars="25" w:right="25" w:rightChars="25"/>
      <w:jc w:val="center"/>
    </w:pPr>
    <w:rPr>
      <w:rFonts w:ascii="Times New Roman" w:hAnsi="Times New Roman"/>
      <w:sz w:val="18"/>
    </w:rPr>
  </w:style>
  <w:style w:type="paragraph" w:customStyle="1" w:styleId="116">
    <w:name w:val="样式 标题 2 + 宋体 非加粗"/>
    <w:basedOn w:val="3"/>
    <w:qFormat/>
    <w:uiPriority w:val="0"/>
    <w:rPr>
      <w:rFonts w:ascii="宋体" w:hAnsi="宋体"/>
    </w:rPr>
  </w:style>
  <w:style w:type="paragraph" w:customStyle="1" w:styleId="117">
    <w:name w:val="表内文字"/>
    <w:basedOn w:val="1"/>
    <w:qFormat/>
    <w:uiPriority w:val="0"/>
    <w:pPr>
      <w:tabs>
        <w:tab w:val="left" w:pos="1418"/>
      </w:tabs>
      <w:spacing w:line="360" w:lineRule="auto"/>
      <w:jc w:val="center"/>
    </w:pPr>
    <w:rPr>
      <w:rFonts w:hint="eastAsia" w:ascii="仿宋_GB2312" w:hAnsi="Times New Roman" w:eastAsia="仿宋_GB2312"/>
      <w:spacing w:val="-20"/>
      <w:kern w:val="0"/>
      <w:sz w:val="24"/>
    </w:rPr>
  </w:style>
  <w:style w:type="paragraph" w:customStyle="1" w:styleId="118">
    <w:name w:val="*正文"/>
    <w:basedOn w:val="1"/>
    <w:qFormat/>
    <w:uiPriority w:val="0"/>
    <w:pPr>
      <w:spacing w:line="360" w:lineRule="auto"/>
      <w:ind w:firstLine="200" w:firstLineChars="200"/>
    </w:pPr>
    <w:rPr>
      <w:rFonts w:ascii="宋体" w:hAnsi="宋体"/>
      <w:kern w:val="0"/>
      <w:sz w:val="22"/>
    </w:rPr>
  </w:style>
  <w:style w:type="paragraph" w:customStyle="1" w:styleId="119">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120">
    <w:name w:val="_Style 1"/>
    <w:qFormat/>
    <w:uiPriority w:val="1"/>
    <w:pPr>
      <w:widowControl w:val="0"/>
      <w:jc w:val="both"/>
    </w:pPr>
    <w:rPr>
      <w:rFonts w:ascii="Calibri" w:hAnsi="Calibri" w:eastAsia="宋体" w:cs="Times New Roman"/>
      <w:kern w:val="2"/>
      <w:sz w:val="24"/>
      <w:szCs w:val="22"/>
      <w:lang w:val="en-US" w:eastAsia="zh-CN" w:bidi="ar-SA"/>
    </w:rPr>
  </w:style>
  <w:style w:type="paragraph" w:customStyle="1" w:styleId="121">
    <w:name w:val="普通(网站)2"/>
    <w:basedOn w:val="1"/>
    <w:qFormat/>
    <w:uiPriority w:val="0"/>
    <w:pPr>
      <w:widowControl/>
      <w:spacing w:before="100" w:beforeAutospacing="1" w:after="100" w:afterAutospacing="1" w:line="160" w:lineRule="atLeast"/>
      <w:jc w:val="left"/>
    </w:pPr>
    <w:rPr>
      <w:rFonts w:ascii="宋体" w:hAnsi="宋体"/>
      <w:kern w:val="0"/>
      <w:sz w:val="24"/>
    </w:rPr>
  </w:style>
  <w:style w:type="paragraph" w:customStyle="1" w:styleId="122">
    <w:name w:val="_Style 113"/>
    <w:basedOn w:val="1"/>
    <w:next w:val="1"/>
    <w:qFormat/>
    <w:uiPriority w:val="0"/>
    <w:pPr>
      <w:pBdr>
        <w:top w:val="single" w:color="auto" w:sz="6" w:space="1"/>
      </w:pBdr>
      <w:jc w:val="center"/>
    </w:pPr>
    <w:rPr>
      <w:rFonts w:ascii="Arial"/>
      <w:vanish/>
      <w:sz w:val="16"/>
    </w:rPr>
  </w:style>
  <w:style w:type="paragraph" w:customStyle="1" w:styleId="123">
    <w:name w:val="列出段落2"/>
    <w:basedOn w:val="1"/>
    <w:qFormat/>
    <w:uiPriority w:val="0"/>
    <w:pPr>
      <w:ind w:firstLine="420" w:firstLineChars="200"/>
    </w:pPr>
  </w:style>
  <w:style w:type="paragraph" w:customStyle="1" w:styleId="124">
    <w:name w:val="章标题"/>
    <w:basedOn w:val="1"/>
    <w:next w:val="74"/>
    <w:qFormat/>
    <w:uiPriority w:val="0"/>
    <w:pPr>
      <w:widowControl/>
      <w:tabs>
        <w:tab w:val="left" w:pos="360"/>
      </w:tabs>
      <w:spacing w:before="156" w:beforeLines="50" w:after="156" w:afterLines="50"/>
      <w:outlineLvl w:val="1"/>
    </w:pPr>
    <w:rPr>
      <w:rFonts w:hint="eastAsia" w:ascii="黑体" w:hAnsi="Times New Roman" w:eastAsia="黑体"/>
      <w:kern w:val="0"/>
    </w:rPr>
  </w:style>
  <w:style w:type="paragraph" w:customStyle="1" w:styleId="125">
    <w:name w:val="新定义正文"/>
    <w:basedOn w:val="1"/>
    <w:qFormat/>
    <w:uiPriority w:val="0"/>
    <w:pPr>
      <w:widowControl/>
    </w:pPr>
    <w:rPr>
      <w:color w:val="000000"/>
    </w:rPr>
  </w:style>
  <w:style w:type="paragraph" w:customStyle="1" w:styleId="126">
    <w:name w:val="普通(网站)1"/>
    <w:basedOn w:val="1"/>
    <w:qFormat/>
    <w:uiPriority w:val="0"/>
    <w:rPr>
      <w:sz w:val="24"/>
    </w:rPr>
  </w:style>
  <w:style w:type="paragraph" w:customStyle="1" w:styleId="127">
    <w:name w:val="修订2"/>
    <w:qFormat/>
    <w:uiPriority w:val="0"/>
    <w:rPr>
      <w:rFonts w:ascii="Calibri" w:hAnsi="Calibri" w:eastAsia="宋体" w:cs="Times New Roman"/>
      <w:kern w:val="2"/>
      <w:sz w:val="21"/>
      <w:lang w:val="en-US" w:eastAsia="zh-CN" w:bidi="ar-SA"/>
    </w:rPr>
  </w:style>
  <w:style w:type="paragraph" w:customStyle="1" w:styleId="128">
    <w:name w:val="日期1"/>
    <w:basedOn w:val="1"/>
    <w:next w:val="1"/>
    <w:link w:val="135"/>
    <w:qFormat/>
    <w:uiPriority w:val="0"/>
    <w:pPr>
      <w:ind w:left="100" w:leftChars="2500"/>
    </w:pPr>
    <w:rPr>
      <w:kern w:val="0"/>
      <w:sz w:val="20"/>
    </w:rPr>
  </w:style>
  <w:style w:type="character" w:customStyle="1" w:styleId="129">
    <w:name w:val="标题 9 字符"/>
    <w:link w:val="13"/>
    <w:qFormat/>
    <w:uiPriority w:val="0"/>
    <w:rPr>
      <w:rFonts w:ascii="Arial" w:hAnsi="Arial" w:eastAsia="黑体"/>
    </w:rPr>
  </w:style>
  <w:style w:type="character" w:customStyle="1" w:styleId="130">
    <w:name w:val="l-btn-left2"/>
    <w:basedOn w:val="48"/>
    <w:qFormat/>
    <w:uiPriority w:val="0"/>
  </w:style>
  <w:style w:type="character" w:customStyle="1" w:styleId="131">
    <w:name w:val="first-child"/>
    <w:basedOn w:val="48"/>
    <w:qFormat/>
    <w:uiPriority w:val="0"/>
  </w:style>
  <w:style w:type="character" w:customStyle="1" w:styleId="132">
    <w:name w:val="Char Char8"/>
    <w:qFormat/>
    <w:uiPriority w:val="0"/>
    <w:rPr>
      <w:b/>
      <w:kern w:val="44"/>
      <w:sz w:val="44"/>
    </w:rPr>
  </w:style>
  <w:style w:type="character" w:customStyle="1" w:styleId="133">
    <w:name w:val="纯文本 Char1"/>
    <w:qFormat/>
    <w:uiPriority w:val="0"/>
    <w:rPr>
      <w:rFonts w:hint="eastAsia" w:ascii="宋体" w:hAnsi="Courier New" w:eastAsia="宋体"/>
      <w:kern w:val="2"/>
      <w:sz w:val="21"/>
    </w:rPr>
  </w:style>
  <w:style w:type="character" w:customStyle="1" w:styleId="134">
    <w:name w:val="正文文本缩进 2 Char"/>
    <w:link w:val="79"/>
    <w:qFormat/>
    <w:uiPriority w:val="0"/>
    <w:rPr>
      <w:rFonts w:ascii="仿宋_GB2312" w:hAnsi="宋体" w:eastAsia="仿宋_GB2312"/>
      <w:sz w:val="24"/>
    </w:rPr>
  </w:style>
  <w:style w:type="character" w:customStyle="1" w:styleId="135">
    <w:name w:val="日期 Char"/>
    <w:link w:val="128"/>
    <w:qFormat/>
    <w:uiPriority w:val="0"/>
    <w:rPr>
      <w:rFonts w:ascii="Times New Roman" w:hAnsi="Times New Roman" w:eastAsia="宋体"/>
    </w:rPr>
  </w:style>
  <w:style w:type="character" w:customStyle="1" w:styleId="136">
    <w:name w:val="批注主题 Char"/>
    <w:link w:val="105"/>
    <w:qFormat/>
    <w:uiPriority w:val="0"/>
    <w:rPr>
      <w:rFonts w:ascii="Times New Roman" w:hAnsi="Times New Roman" w:eastAsia="宋体"/>
      <w:b/>
    </w:rPr>
  </w:style>
  <w:style w:type="character" w:customStyle="1" w:styleId="137">
    <w:name w:val="font21"/>
    <w:qFormat/>
    <w:uiPriority w:val="0"/>
    <w:rPr>
      <w:rFonts w:hint="eastAsia" w:ascii="宋体" w:hAnsi="宋体" w:eastAsia="宋体" w:cs="宋体"/>
      <w:b/>
      <w:color w:val="000000"/>
      <w:sz w:val="22"/>
      <w:szCs w:val="22"/>
      <w:u w:val="none"/>
    </w:rPr>
  </w:style>
  <w:style w:type="character" w:customStyle="1" w:styleId="138">
    <w:name w:val="Char Char"/>
    <w:qFormat/>
    <w:uiPriority w:val="0"/>
    <w:rPr>
      <w:rFonts w:ascii="宋体"/>
      <w:kern w:val="2"/>
      <w:sz w:val="18"/>
    </w:rPr>
  </w:style>
  <w:style w:type="character" w:customStyle="1" w:styleId="139">
    <w:name w:val="副标题 字符"/>
    <w:link w:val="36"/>
    <w:qFormat/>
    <w:uiPriority w:val="0"/>
    <w:rPr>
      <w:rFonts w:ascii="Cambria" w:hAnsi="Cambria" w:eastAsia="宋体"/>
      <w:b/>
      <w:kern w:val="28"/>
      <w:sz w:val="32"/>
    </w:rPr>
  </w:style>
  <w:style w:type="character" w:customStyle="1" w:styleId="140">
    <w:name w:val="样式2 方正仿宋_GBK 三号 加粗"/>
    <w:qFormat/>
    <w:uiPriority w:val="0"/>
    <w:rPr>
      <w:rFonts w:hint="eastAsia" w:ascii="方正仿宋_GBK" w:hAnsi="方正仿宋_GBK" w:eastAsia="方正仿宋_GBK"/>
      <w:b/>
      <w:sz w:val="32"/>
    </w:rPr>
  </w:style>
  <w:style w:type="character" w:customStyle="1" w:styleId="141">
    <w:name w:val="页码1"/>
    <w:basedOn w:val="48"/>
    <w:qFormat/>
    <w:uiPriority w:val="0"/>
  </w:style>
  <w:style w:type="character" w:customStyle="1" w:styleId="142">
    <w:name w:val="脚注文本 字符"/>
    <w:link w:val="37"/>
    <w:qFormat/>
    <w:uiPriority w:val="0"/>
    <w:rPr>
      <w:rFonts w:hint="default" w:ascii="Verdana" w:hAnsi="Verdana"/>
      <w:kern w:val="2"/>
      <w:sz w:val="18"/>
      <w:lang w:eastAsia="en-US"/>
    </w:rPr>
  </w:style>
  <w:style w:type="character" w:customStyle="1" w:styleId="143">
    <w:name w:val="标题 4 字符"/>
    <w:link w:val="10"/>
    <w:qFormat/>
    <w:uiPriority w:val="0"/>
    <w:rPr>
      <w:rFonts w:ascii="Times New Roman" w:hAnsi="Times New Roman" w:eastAsia="宋体"/>
      <w:sz w:val="28"/>
    </w:rPr>
  </w:style>
  <w:style w:type="character" w:customStyle="1" w:styleId="144">
    <w:name w:val="标题 7 字符"/>
    <w:link w:val="11"/>
    <w:qFormat/>
    <w:uiPriority w:val="0"/>
    <w:rPr>
      <w:rFonts w:ascii="Times New Roman" w:hAnsi="Times New Roman" w:eastAsia="宋体"/>
      <w:b/>
      <w:sz w:val="24"/>
    </w:rPr>
  </w:style>
  <w:style w:type="character" w:customStyle="1" w:styleId="145">
    <w:name w:val="标题 3 字符"/>
    <w:link w:val="6"/>
    <w:qFormat/>
    <w:uiPriority w:val="0"/>
    <w:rPr>
      <w:rFonts w:ascii="黑体" w:hAnsi="黑体" w:eastAsia="宋体"/>
      <w:b/>
      <w:kern w:val="0"/>
      <w:sz w:val="21"/>
    </w:rPr>
  </w:style>
  <w:style w:type="character" w:customStyle="1" w:styleId="146">
    <w:name w:val="标题 2 字符"/>
    <w:link w:val="3"/>
    <w:qFormat/>
    <w:uiPriority w:val="0"/>
    <w:rPr>
      <w:rFonts w:ascii="Arial" w:hAnsi="Arial" w:eastAsia="宋体"/>
      <w:b/>
      <w:sz w:val="24"/>
    </w:rPr>
  </w:style>
  <w:style w:type="character" w:customStyle="1" w:styleId="147">
    <w:name w:val="正文文本缩进 Char"/>
    <w:link w:val="98"/>
    <w:qFormat/>
    <w:uiPriority w:val="0"/>
    <w:rPr>
      <w:rFonts w:ascii="楷体_GB2312" w:hAnsi="Times New Roman" w:eastAsia="楷体_GB2312"/>
      <w:kern w:val="0"/>
      <w:sz w:val="28"/>
    </w:rPr>
  </w:style>
  <w:style w:type="character" w:customStyle="1" w:styleId="148">
    <w:name w:val="纯文本 字符1"/>
    <w:qFormat/>
    <w:uiPriority w:val="0"/>
    <w:rPr>
      <w:rFonts w:ascii="等线" w:hAnsi="Courier New" w:eastAsia="等线"/>
      <w:kern w:val="2"/>
      <w:sz w:val="21"/>
      <w:lang w:eastAsia="en-US"/>
    </w:rPr>
  </w:style>
  <w:style w:type="character" w:customStyle="1" w:styleId="149">
    <w:name w:val="正文文本缩进 3 Char"/>
    <w:link w:val="83"/>
    <w:qFormat/>
    <w:uiPriority w:val="0"/>
    <w:rPr>
      <w:rFonts w:ascii="Times New Roman" w:hAnsi="Times New Roman" w:eastAsia="宋体"/>
      <w:sz w:val="24"/>
    </w:rPr>
  </w:style>
  <w:style w:type="character" w:customStyle="1" w:styleId="150">
    <w:name w:val="批注文字 字符"/>
    <w:link w:val="17"/>
    <w:qFormat/>
    <w:uiPriority w:val="0"/>
    <w:rPr>
      <w:rFonts w:ascii="Times New Roman" w:hAnsi="Times New Roman" w:eastAsia="宋体"/>
    </w:rPr>
  </w:style>
  <w:style w:type="character" w:customStyle="1" w:styleId="151">
    <w:name w:val="btn_xlxz"/>
    <w:basedOn w:val="48"/>
    <w:qFormat/>
    <w:uiPriority w:val="0"/>
  </w:style>
  <w:style w:type="character" w:customStyle="1" w:styleId="152">
    <w:name w:val="font11"/>
    <w:qFormat/>
    <w:uiPriority w:val="0"/>
    <w:rPr>
      <w:rFonts w:hint="eastAsia" w:ascii="宋体" w:hAnsi="宋体" w:eastAsia="宋体" w:cs="宋体"/>
      <w:color w:val="000000"/>
      <w:sz w:val="22"/>
      <w:szCs w:val="22"/>
      <w:u w:val="none"/>
    </w:rPr>
  </w:style>
  <w:style w:type="character" w:customStyle="1" w:styleId="153">
    <w:name w:val="标题 5 字符"/>
    <w:link w:val="5"/>
    <w:qFormat/>
    <w:uiPriority w:val="0"/>
    <w:rPr>
      <w:rFonts w:ascii="Times New Roman" w:hAnsi="Times New Roman" w:eastAsia="宋体"/>
      <w:b/>
      <w:sz w:val="28"/>
    </w:rPr>
  </w:style>
  <w:style w:type="character" w:customStyle="1" w:styleId="154">
    <w:name w:val="页眉 Char1"/>
    <w:qFormat/>
    <w:uiPriority w:val="0"/>
    <w:rPr>
      <w:kern w:val="2"/>
      <w:sz w:val="18"/>
    </w:rPr>
  </w:style>
  <w:style w:type="character" w:customStyle="1" w:styleId="155">
    <w:name w:val="正文 New New New New New New New Char New"/>
    <w:link w:val="71"/>
    <w:qFormat/>
    <w:uiPriority w:val="0"/>
    <w:rPr>
      <w:rFonts w:hint="default" w:ascii="Calibri" w:hAnsi="Calibri"/>
    </w:rPr>
  </w:style>
  <w:style w:type="character" w:customStyle="1" w:styleId="156">
    <w:name w:val="16"/>
    <w:qFormat/>
    <w:uiPriority w:val="0"/>
    <w:rPr>
      <w:rFonts w:hint="default" w:ascii="Times New Roman" w:hAnsi="Times New Roman"/>
      <w:color w:val="0000FF"/>
      <w:u w:val="single"/>
    </w:rPr>
  </w:style>
  <w:style w:type="character" w:customStyle="1" w:styleId="157">
    <w:name w:val="页眉 字符"/>
    <w:link w:val="33"/>
    <w:qFormat/>
    <w:uiPriority w:val="99"/>
    <w:rPr>
      <w:rFonts w:ascii="Times New Roman" w:hAnsi="Times New Roman" w:eastAsia="宋体"/>
      <w:sz w:val="18"/>
    </w:rPr>
  </w:style>
  <w:style w:type="character" w:customStyle="1" w:styleId="158">
    <w:name w:val="页码11"/>
    <w:basedOn w:val="48"/>
    <w:qFormat/>
    <w:uiPriority w:val="0"/>
  </w:style>
  <w:style w:type="character" w:customStyle="1" w:styleId="159">
    <w:name w:val="标题 8 字符"/>
    <w:link w:val="12"/>
    <w:qFormat/>
    <w:uiPriority w:val="0"/>
    <w:rPr>
      <w:rFonts w:ascii="Arial" w:hAnsi="Arial" w:eastAsia="黑体"/>
      <w:sz w:val="24"/>
    </w:rPr>
  </w:style>
  <w:style w:type="character" w:customStyle="1" w:styleId="160">
    <w:name w:val="l-btn-left4"/>
    <w:basedOn w:val="48"/>
    <w:qFormat/>
    <w:uiPriority w:val="0"/>
  </w:style>
  <w:style w:type="character" w:customStyle="1" w:styleId="161">
    <w:name w:val="l-btn-empty"/>
    <w:basedOn w:val="48"/>
    <w:qFormat/>
    <w:uiPriority w:val="0"/>
  </w:style>
  <w:style w:type="character" w:customStyle="1" w:styleId="162">
    <w:name w:val="color-red"/>
    <w:basedOn w:val="48"/>
    <w:qFormat/>
    <w:uiPriority w:val="0"/>
    <w:rPr>
      <w:color w:val="FF6E40"/>
      <w:sz w:val="19"/>
      <w:szCs w:val="19"/>
      <w:bdr w:val="single" w:color="FF6E40" w:sz="6" w:space="0"/>
      <w:shd w:val="clear" w:color="auto" w:fill="FFFFFF"/>
    </w:rPr>
  </w:style>
  <w:style w:type="character" w:customStyle="1" w:styleId="163">
    <w:name w:val="批注引用1"/>
    <w:qFormat/>
    <w:uiPriority w:val="0"/>
    <w:rPr>
      <w:sz w:val="21"/>
    </w:rPr>
  </w:style>
  <w:style w:type="character" w:customStyle="1" w:styleId="164">
    <w:name w:val="正文文本 字符"/>
    <w:qFormat/>
    <w:uiPriority w:val="0"/>
    <w:rPr>
      <w:rFonts w:ascii="Times New Roman" w:hAnsi="Times New Roman" w:eastAsia="宋体"/>
      <w:sz w:val="28"/>
    </w:rPr>
  </w:style>
  <w:style w:type="character" w:customStyle="1" w:styleId="165">
    <w:name w:val="WPSOffice手动目录 1 Char"/>
    <w:link w:val="96"/>
    <w:qFormat/>
    <w:uiPriority w:val="0"/>
    <w:rPr>
      <w:lang w:val="en-US" w:eastAsia="zh-CN" w:bidi="ar-SA"/>
    </w:rPr>
  </w:style>
  <w:style w:type="character" w:customStyle="1" w:styleId="166">
    <w:name w:val="文档结构图 字符"/>
    <w:basedOn w:val="48"/>
    <w:link w:val="15"/>
    <w:qFormat/>
    <w:uiPriority w:val="0"/>
    <w:rPr>
      <w:rFonts w:ascii="宋体"/>
      <w:kern w:val="2"/>
      <w:sz w:val="18"/>
      <w:szCs w:val="18"/>
    </w:rPr>
  </w:style>
  <w:style w:type="character" w:customStyle="1" w:styleId="167">
    <w:name w:val="Char Char1"/>
    <w:qFormat/>
    <w:uiPriority w:val="0"/>
    <w:rPr>
      <w:rFonts w:ascii="楷体_GB2312" w:eastAsia="楷体_GB2312"/>
      <w:sz w:val="28"/>
    </w:rPr>
  </w:style>
  <w:style w:type="character" w:customStyle="1" w:styleId="168">
    <w:name w:val="B Char Char"/>
    <w:link w:val="72"/>
    <w:qFormat/>
    <w:uiPriority w:val="0"/>
    <w:rPr>
      <w:rFonts w:hint="eastAsia" w:ascii="E-F1" w:hAnsi="E-F1" w:eastAsia="黑体"/>
      <w:sz w:val="21"/>
    </w:rPr>
  </w:style>
  <w:style w:type="character" w:customStyle="1" w:styleId="169">
    <w:name w:val="标题 1 字符"/>
    <w:link w:val="2"/>
    <w:qFormat/>
    <w:uiPriority w:val="0"/>
    <w:rPr>
      <w:rFonts w:ascii="Times New Roman" w:hAnsi="Times New Roman" w:eastAsia="宋体"/>
      <w:b/>
      <w:kern w:val="44"/>
      <w:sz w:val="28"/>
    </w:rPr>
  </w:style>
  <w:style w:type="character" w:customStyle="1" w:styleId="170">
    <w:name w:val="正文文本 字符2"/>
    <w:link w:val="18"/>
    <w:qFormat/>
    <w:uiPriority w:val="0"/>
    <w:rPr>
      <w:rFonts w:ascii="Calibri" w:hAnsi="Calibri" w:eastAsia="宋体"/>
      <w:sz w:val="21"/>
      <w:szCs w:val="24"/>
      <w:lang w:bidi="ar-SA"/>
    </w:rPr>
  </w:style>
  <w:style w:type="character" w:customStyle="1" w:styleId="171">
    <w:name w:val="btn_xlxz1"/>
    <w:basedOn w:val="48"/>
    <w:qFormat/>
    <w:uiPriority w:val="0"/>
  </w:style>
  <w:style w:type="character" w:customStyle="1" w:styleId="172">
    <w:name w:val="文档结构图 Char"/>
    <w:link w:val="69"/>
    <w:qFormat/>
    <w:uiPriority w:val="0"/>
    <w:rPr>
      <w:rFonts w:ascii="宋体" w:hAnsi="Times New Roman" w:eastAsia="宋体"/>
      <w:sz w:val="18"/>
    </w:rPr>
  </w:style>
  <w:style w:type="character" w:customStyle="1" w:styleId="173">
    <w:name w:val="批注文字 Char1"/>
    <w:qFormat/>
    <w:uiPriority w:val="0"/>
    <w:rPr>
      <w:kern w:val="2"/>
      <w:sz w:val="21"/>
    </w:rPr>
  </w:style>
  <w:style w:type="character" w:customStyle="1" w:styleId="174">
    <w:name w:val="纯文本 字符"/>
    <w:link w:val="25"/>
    <w:qFormat/>
    <w:uiPriority w:val="0"/>
    <w:rPr>
      <w:rFonts w:hint="eastAsia" w:ascii="宋体" w:hAnsi="Courier New" w:eastAsia="宋体"/>
      <w:sz w:val="21"/>
    </w:rPr>
  </w:style>
  <w:style w:type="character" w:customStyle="1" w:styleId="175">
    <w:name w:val="标题 6 字符"/>
    <w:link w:val="8"/>
    <w:qFormat/>
    <w:uiPriority w:val="0"/>
    <w:rPr>
      <w:rFonts w:ascii="Arial" w:hAnsi="Arial" w:eastAsia="黑体"/>
      <w:b/>
      <w:sz w:val="24"/>
    </w:rPr>
  </w:style>
  <w:style w:type="character" w:customStyle="1" w:styleId="176">
    <w:name w:val="页脚 Char1"/>
    <w:qFormat/>
    <w:uiPriority w:val="0"/>
    <w:rPr>
      <w:kern w:val="2"/>
      <w:sz w:val="18"/>
    </w:rPr>
  </w:style>
  <w:style w:type="character" w:customStyle="1" w:styleId="177">
    <w:name w:val="tit"/>
    <w:basedOn w:val="48"/>
    <w:qFormat/>
    <w:uiPriority w:val="0"/>
    <w:rPr>
      <w:color w:val="FFFFFF"/>
    </w:rPr>
  </w:style>
  <w:style w:type="character" w:customStyle="1" w:styleId="178">
    <w:name w:val="color-blue"/>
    <w:basedOn w:val="48"/>
    <w:qFormat/>
    <w:uiPriority w:val="0"/>
    <w:rPr>
      <w:color w:val="2272DE"/>
      <w:sz w:val="19"/>
      <w:szCs w:val="19"/>
      <w:bdr w:val="single" w:color="2272DE" w:sz="6" w:space="0"/>
      <w:shd w:val="clear" w:color="auto" w:fill="FFFFFF"/>
    </w:rPr>
  </w:style>
  <w:style w:type="character" w:customStyle="1" w:styleId="179">
    <w:name w:val="批注主题 字符"/>
    <w:link w:val="44"/>
    <w:qFormat/>
    <w:uiPriority w:val="0"/>
    <w:rPr>
      <w:rFonts w:ascii="Times New Roman" w:hAnsi="Times New Roman" w:eastAsia="宋体"/>
      <w:b/>
      <w:kern w:val="2"/>
      <w:sz w:val="21"/>
    </w:rPr>
  </w:style>
  <w:style w:type="character" w:customStyle="1" w:styleId="180">
    <w:name w:val="页脚 字符"/>
    <w:link w:val="32"/>
    <w:qFormat/>
    <w:uiPriority w:val="99"/>
    <w:rPr>
      <w:rFonts w:ascii="Times New Roman" w:hAnsi="Times New Roman" w:eastAsia="宋体"/>
      <w:sz w:val="18"/>
    </w:rPr>
  </w:style>
  <w:style w:type="character" w:customStyle="1" w:styleId="181">
    <w:name w:val="正文首行缩进 Char"/>
    <w:link w:val="104"/>
    <w:qFormat/>
    <w:uiPriority w:val="0"/>
    <w:rPr>
      <w:rFonts w:hint="default" w:ascii="Times New Roman" w:hAnsi="Times New Roman" w:eastAsia="宋体"/>
    </w:rPr>
  </w:style>
  <w:style w:type="character" w:customStyle="1" w:styleId="182">
    <w:name w:val="l-btn-left3"/>
    <w:basedOn w:val="48"/>
    <w:qFormat/>
    <w:uiPriority w:val="0"/>
  </w:style>
  <w:style w:type="character" w:customStyle="1" w:styleId="183">
    <w:name w:val="l-btn-left5"/>
    <w:basedOn w:val="48"/>
    <w:qFormat/>
    <w:uiPriority w:val="0"/>
  </w:style>
  <w:style w:type="character" w:customStyle="1" w:styleId="184">
    <w:name w:val="批注框文本 字符"/>
    <w:link w:val="31"/>
    <w:qFormat/>
    <w:uiPriority w:val="0"/>
    <w:rPr>
      <w:rFonts w:ascii="Times New Roman" w:hAnsi="Times New Roman" w:eastAsia="宋体"/>
      <w:sz w:val="18"/>
    </w:rPr>
  </w:style>
  <w:style w:type="character" w:customStyle="1" w:styleId="185">
    <w:name w:val="正文缩进 Char"/>
    <w:basedOn w:val="48"/>
    <w:link w:val="75"/>
    <w:qFormat/>
    <w:uiPriority w:val="0"/>
  </w:style>
  <w:style w:type="character" w:customStyle="1" w:styleId="186">
    <w:name w:val="纯文本 Char"/>
    <w:link w:val="110"/>
    <w:qFormat/>
    <w:uiPriority w:val="0"/>
    <w:rPr>
      <w:rFonts w:ascii="宋体" w:hAnsi="Courier New" w:eastAsia="宋体"/>
    </w:rPr>
  </w:style>
  <w:style w:type="character" w:customStyle="1" w:styleId="187">
    <w:name w:val="color-green"/>
    <w:basedOn w:val="48"/>
    <w:qFormat/>
    <w:uiPriority w:val="0"/>
    <w:rPr>
      <w:color w:val="02B202"/>
      <w:sz w:val="19"/>
      <w:szCs w:val="19"/>
      <w:bdr w:val="single" w:color="02B202" w:sz="6" w:space="0"/>
      <w:shd w:val="clear" w:color="auto" w:fill="FFFFFF"/>
    </w:rPr>
  </w:style>
  <w:style w:type="character" w:customStyle="1" w:styleId="188">
    <w:name w:val="标题 字符"/>
    <w:link w:val="43"/>
    <w:qFormat/>
    <w:uiPriority w:val="0"/>
    <w:rPr>
      <w:rFonts w:ascii="Cambria" w:hAnsi="Cambria" w:eastAsia="宋体"/>
      <w:b/>
      <w:sz w:val="32"/>
    </w:rPr>
  </w:style>
  <w:style w:type="character" w:customStyle="1" w:styleId="189">
    <w:name w:val="正文文本 字符1"/>
    <w:qFormat/>
    <w:uiPriority w:val="0"/>
    <w:rPr>
      <w:rFonts w:hint="default" w:ascii="Times New Roman"/>
      <w:kern w:val="2"/>
      <w:sz w:val="24"/>
    </w:rPr>
  </w:style>
  <w:style w:type="character" w:customStyle="1" w:styleId="190">
    <w:name w:val="l-btn-text"/>
    <w:basedOn w:val="48"/>
    <w:qFormat/>
    <w:uiPriority w:val="0"/>
  </w:style>
  <w:style w:type="character" w:customStyle="1" w:styleId="191">
    <w:name w:val="脚注文本 Char1"/>
    <w:qFormat/>
    <w:uiPriority w:val="0"/>
    <w:rPr>
      <w:kern w:val="2"/>
      <w:sz w:val="18"/>
    </w:rPr>
  </w:style>
  <w:style w:type="paragraph" w:customStyle="1" w:styleId="192">
    <w:name w:val="无间隔1"/>
    <w:qFormat/>
    <w:uiPriority w:val="1"/>
    <w:pPr>
      <w:widowControl w:val="0"/>
      <w:jc w:val="both"/>
    </w:pPr>
    <w:rPr>
      <w:rFonts w:ascii="Calibri" w:hAnsi="Calibri" w:eastAsia="宋体" w:cs="Times New Roman"/>
      <w:kern w:val="2"/>
      <w:sz w:val="24"/>
      <w:szCs w:val="22"/>
      <w:lang w:val="en-US" w:eastAsia="zh-CN" w:bidi="ar-SA"/>
    </w:rPr>
  </w:style>
  <w:style w:type="paragraph" w:customStyle="1" w:styleId="193">
    <w:name w:val="首行缩进"/>
    <w:basedOn w:val="1"/>
    <w:qFormat/>
    <w:uiPriority w:val="99"/>
    <w:pPr>
      <w:spacing w:line="360" w:lineRule="auto"/>
      <w:ind w:firstLine="480" w:firstLineChars="200"/>
    </w:pPr>
    <w:rPr>
      <w:sz w:val="24"/>
      <w:szCs w:val="22"/>
      <w:lang w:val="zh-CN"/>
    </w:rPr>
  </w:style>
  <w:style w:type="paragraph" w:customStyle="1" w:styleId="194">
    <w:name w:val="普通 (Web)"/>
    <w:basedOn w:val="1"/>
    <w:qFormat/>
    <w:uiPriority w:val="0"/>
    <w:pPr>
      <w:widowControl/>
      <w:suppressAutoHyphens/>
      <w:spacing w:before="280" w:after="280"/>
      <w:jc w:val="left"/>
    </w:pPr>
    <w:rPr>
      <w:rFonts w:ascii="宋体" w:hAnsi="宋体"/>
      <w:sz w:val="24"/>
      <w:lang w:eastAsia="ar-SA"/>
    </w:rPr>
  </w:style>
  <w:style w:type="character" w:customStyle="1" w:styleId="195">
    <w:name w:val="Unresolved Mention"/>
    <w:basedOn w:val="48"/>
    <w:semiHidden/>
    <w:unhideWhenUsed/>
    <w:qFormat/>
    <w:uiPriority w:val="99"/>
    <w:rPr>
      <w:color w:val="605E5C"/>
      <w:shd w:val="clear" w:color="auto" w:fill="E1DFDD"/>
    </w:rPr>
  </w:style>
  <w:style w:type="paragraph" w:styleId="196">
    <w:name w:val="List Paragraph"/>
    <w:basedOn w:val="1"/>
    <w:unhideWhenUsed/>
    <w:qFormat/>
    <w:uiPriority w:val="99"/>
    <w:pPr>
      <w:ind w:firstLine="420" w:firstLineChars="200"/>
    </w:pPr>
  </w:style>
  <w:style w:type="paragraph" w:customStyle="1" w:styleId="197">
    <w:name w:val="be358f00-9758-446e-aec5-cde8345aeef3"/>
    <w:basedOn w:val="18"/>
    <w:link w:val="199"/>
    <w:qFormat/>
    <w:uiPriority w:val="0"/>
    <w:pPr>
      <w:snapToGrid w:val="0"/>
      <w:spacing w:line="288" w:lineRule="auto"/>
      <w:ind w:firstLine="440"/>
      <w:jc w:val="left"/>
    </w:pPr>
    <w:rPr>
      <w:rFonts w:ascii="微软雅黑" w:hAnsi="微软雅黑" w:eastAsia="微软雅黑"/>
      <w:color w:val="000000"/>
      <w:sz w:val="22"/>
    </w:rPr>
  </w:style>
  <w:style w:type="character" w:customStyle="1" w:styleId="198">
    <w:name w:val="文档正文 字符"/>
    <w:basedOn w:val="48"/>
    <w:link w:val="94"/>
    <w:qFormat/>
    <w:uiPriority w:val="0"/>
    <w:rPr>
      <w:rFonts w:ascii="长城仿宋" w:hAnsi="Calibri" w:eastAsia="长城仿宋"/>
      <w:sz w:val="28"/>
    </w:rPr>
  </w:style>
  <w:style w:type="character" w:customStyle="1" w:styleId="199">
    <w:name w:val="be358f00-9758-446e-aec5-cde8345aeef3 字符"/>
    <w:basedOn w:val="198"/>
    <w:link w:val="197"/>
    <w:qFormat/>
    <w:uiPriority w:val="0"/>
    <w:rPr>
      <w:rFonts w:ascii="微软雅黑" w:hAnsi="微软雅黑" w:eastAsia="微软雅黑"/>
      <w:color w:val="000000"/>
      <w:sz w:val="22"/>
      <w:szCs w:val="24"/>
    </w:rPr>
  </w:style>
  <w:style w:type="paragraph" w:customStyle="1" w:styleId="200">
    <w:name w:val="e3fb8205-adf9-4d0d-85d1-1a84f91ab844"/>
    <w:basedOn w:val="2"/>
    <w:next w:val="201"/>
    <w:link w:val="202"/>
    <w:qFormat/>
    <w:uiPriority w:val="0"/>
    <w:pPr>
      <w:numPr>
        <w:ilvl w:val="0"/>
        <w:numId w:val="4"/>
      </w:numPr>
      <w:snapToGrid w:val="0"/>
      <w:spacing w:before="0" w:after="0" w:line="288" w:lineRule="auto"/>
      <w:jc w:val="left"/>
    </w:pPr>
    <w:rPr>
      <w:rFonts w:ascii="微软雅黑" w:hAnsi="微软雅黑" w:eastAsia="微软雅黑"/>
      <w:color w:val="000000"/>
      <w:sz w:val="32"/>
      <w:szCs w:val="32"/>
    </w:rPr>
  </w:style>
  <w:style w:type="paragraph" w:customStyle="1" w:styleId="201">
    <w:name w:val="6d40456e-b323-429d-9693-bbe1e67bb9c3"/>
    <w:basedOn w:val="18"/>
    <w:link w:val="203"/>
    <w:qFormat/>
    <w:uiPriority w:val="0"/>
    <w:pPr>
      <w:snapToGrid w:val="0"/>
      <w:spacing w:line="288" w:lineRule="auto"/>
      <w:jc w:val="left"/>
    </w:pPr>
    <w:rPr>
      <w:rFonts w:ascii="微软雅黑" w:hAnsi="微软雅黑" w:eastAsia="微软雅黑"/>
      <w:color w:val="000000"/>
      <w:sz w:val="22"/>
      <w:szCs w:val="32"/>
    </w:rPr>
  </w:style>
  <w:style w:type="character" w:customStyle="1" w:styleId="202">
    <w:name w:val="e3fb8205-adf9-4d0d-85d1-1a84f91ab844 字符"/>
    <w:basedOn w:val="198"/>
    <w:link w:val="200"/>
    <w:qFormat/>
    <w:uiPriority w:val="0"/>
    <w:rPr>
      <w:rFonts w:ascii="微软雅黑" w:hAnsi="微软雅黑" w:eastAsia="微软雅黑"/>
      <w:b/>
      <w:color w:val="000000"/>
      <w:kern w:val="44"/>
      <w:sz w:val="32"/>
      <w:szCs w:val="32"/>
    </w:rPr>
  </w:style>
  <w:style w:type="character" w:customStyle="1" w:styleId="203">
    <w:name w:val="6d40456e-b323-429d-9693-bbe1e67bb9c3 字符"/>
    <w:basedOn w:val="198"/>
    <w:link w:val="201"/>
    <w:qFormat/>
    <w:uiPriority w:val="0"/>
    <w:rPr>
      <w:rFonts w:ascii="微软雅黑" w:hAnsi="微软雅黑" w:eastAsia="微软雅黑"/>
      <w:color w:val="000000"/>
      <w:sz w:val="22"/>
      <w:szCs w:val="32"/>
    </w:rPr>
  </w:style>
  <w:style w:type="paragraph" w:customStyle="1" w:styleId="204">
    <w:name w:val="a02e6475-35cc-471f-ab8b-7db223c3f9ab"/>
    <w:basedOn w:val="3"/>
    <w:next w:val="201"/>
    <w:link w:val="205"/>
    <w:qFormat/>
    <w:uiPriority w:val="0"/>
    <w:pPr>
      <w:numPr>
        <w:ilvl w:val="1"/>
        <w:numId w:val="4"/>
      </w:numPr>
      <w:spacing w:before="0" w:after="0" w:line="288" w:lineRule="auto"/>
      <w:jc w:val="left"/>
    </w:pPr>
    <w:rPr>
      <w:rFonts w:ascii="微软雅黑" w:hAnsi="微软雅黑" w:eastAsia="微软雅黑"/>
      <w:color w:val="000000"/>
      <w:kern w:val="44"/>
      <w:sz w:val="28"/>
      <w:szCs w:val="32"/>
    </w:rPr>
  </w:style>
  <w:style w:type="character" w:customStyle="1" w:styleId="205">
    <w:name w:val="a02e6475-35cc-471f-ab8b-7db223c3f9ab 字符"/>
    <w:basedOn w:val="202"/>
    <w:link w:val="204"/>
    <w:qFormat/>
    <w:uiPriority w:val="0"/>
    <w:rPr>
      <w:rFonts w:ascii="微软雅黑" w:hAnsi="微软雅黑" w:eastAsia="微软雅黑"/>
      <w:color w:val="000000"/>
      <w:kern w:val="44"/>
      <w:sz w:val="28"/>
      <w:szCs w:val="32"/>
    </w:rPr>
  </w:style>
  <w:style w:type="paragraph" w:customStyle="1" w:styleId="206">
    <w:name w:val="8bcb8ff2-dace-4d23-859e-d17d3441e36c"/>
    <w:basedOn w:val="6"/>
    <w:next w:val="201"/>
    <w:link w:val="207"/>
    <w:qFormat/>
    <w:uiPriority w:val="0"/>
    <w:pPr>
      <w:numPr>
        <w:ilvl w:val="2"/>
        <w:numId w:val="4"/>
      </w:numPr>
      <w:spacing w:before="0" w:after="0" w:line="288" w:lineRule="auto"/>
      <w:jc w:val="left"/>
    </w:pPr>
    <w:rPr>
      <w:rFonts w:ascii="微软雅黑" w:hAnsi="微软雅黑" w:eastAsia="微软雅黑"/>
      <w:color w:val="000000"/>
      <w:kern w:val="44"/>
      <w:sz w:val="26"/>
      <w:szCs w:val="32"/>
    </w:rPr>
  </w:style>
  <w:style w:type="character" w:customStyle="1" w:styleId="207">
    <w:name w:val="8bcb8ff2-dace-4d23-859e-d17d3441e36c 字符"/>
    <w:basedOn w:val="205"/>
    <w:link w:val="206"/>
    <w:qFormat/>
    <w:uiPriority w:val="0"/>
    <w:rPr>
      <w:rFonts w:ascii="微软雅黑" w:hAnsi="微软雅黑" w:eastAsia="微软雅黑"/>
      <w:color w:val="000000"/>
      <w:kern w:val="44"/>
      <w:sz w:val="26"/>
      <w:szCs w:val="32"/>
    </w:rPr>
  </w:style>
  <w:style w:type="paragraph" w:customStyle="1" w:styleId="208">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376092" w:themeColor="accent1" w:themeShade="BF"/>
      <w:kern w:val="0"/>
      <w:sz w:val="32"/>
      <w:szCs w:val="32"/>
    </w:rPr>
  </w:style>
  <w:style w:type="character" w:customStyle="1" w:styleId="209">
    <w:name w:val="日期 字符"/>
    <w:basedOn w:val="48"/>
    <w:link w:val="28"/>
    <w:qFormat/>
    <w:uiPriority w:val="0"/>
    <w:rPr>
      <w:rFonts w:ascii="Calibri" w:hAnsi="Calibri"/>
      <w:kern w:val="2"/>
      <w:sz w:val="21"/>
    </w:rPr>
  </w:style>
  <w:style w:type="character" w:customStyle="1" w:styleId="210">
    <w:name w:val="font81"/>
    <w:basedOn w:val="48"/>
    <w:qFormat/>
    <w:uiPriority w:val="0"/>
    <w:rPr>
      <w:rFonts w:hint="eastAsia" w:ascii="微软雅黑" w:hAnsi="微软雅黑" w:eastAsia="微软雅黑" w:cs="微软雅黑"/>
      <w:b/>
      <w:bCs/>
      <w:color w:val="FF0000"/>
      <w:sz w:val="22"/>
      <w:szCs w:val="22"/>
      <w:u w:val="none"/>
    </w:rPr>
  </w:style>
  <w:style w:type="character" w:customStyle="1" w:styleId="211">
    <w:name w:val="font91"/>
    <w:basedOn w:val="48"/>
    <w:qFormat/>
    <w:uiPriority w:val="0"/>
    <w:rPr>
      <w:rFonts w:hint="eastAsia" w:ascii="宋体" w:hAnsi="宋体" w:eastAsia="宋体" w:cs="宋体"/>
      <w:color w:val="FF0000"/>
      <w:sz w:val="22"/>
      <w:szCs w:val="22"/>
      <w:u w:val="none"/>
    </w:rPr>
  </w:style>
  <w:style w:type="character" w:customStyle="1" w:styleId="212">
    <w:name w:val="font61"/>
    <w:basedOn w:val="48"/>
    <w:qFormat/>
    <w:uiPriority w:val="0"/>
    <w:rPr>
      <w:rFonts w:hint="eastAsia" w:ascii="宋体" w:hAnsi="宋体" w:eastAsia="宋体" w:cs="宋体"/>
      <w:color w:val="000000"/>
      <w:sz w:val="22"/>
      <w:szCs w:val="22"/>
      <w:u w:val="none"/>
    </w:rPr>
  </w:style>
  <w:style w:type="character" w:customStyle="1" w:styleId="213">
    <w:name w:val="font51"/>
    <w:basedOn w:val="48"/>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2B4EEC3-CE42-4B51-B474-C59AC35B8FFD}">
  <ds:schemaRefs/>
</ds:datastoreItem>
</file>

<file path=docProps/app.xml><?xml version="1.0" encoding="utf-8"?>
<Properties xmlns="http://schemas.openxmlformats.org/officeDocument/2006/extended-properties" xmlns:vt="http://schemas.openxmlformats.org/officeDocument/2006/docPropsVTypes">
  <Pages>1</Pages>
  <Words>8444</Words>
  <Characters>9074</Characters>
  <Lines>1</Lines>
  <Paragraphs>1</Paragraphs>
  <TotalTime>2</TotalTime>
  <ScaleCrop>false</ScaleCrop>
  <LinksUpToDate>false</LinksUpToDate>
  <CharactersWithSpaces>9606</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2018-08-22T07:15:00Z</dcterms:created>
  <dc:creator>MIIT</dc:creator>
  <cp:lastModifiedBy>RT-MART</cp:lastModifiedBy>
  <cp:lastPrinted>2023-05-09T23:36:00Z</cp:lastPrinted>
  <dcterms:modified xsi:type="dcterms:W3CDTF">2026-06-02T15:23:32Z</dcterms:modified>
  <dc:title>达哥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DED13921C82744579BC5F7A7FF38C7B9_13</vt:lpwstr>
  </property>
  <property fmtid="{D5CDD505-2E9C-101B-9397-08002B2CF9AE}" pid="4" name="KSOTemplateDocerSaveRecord">
    <vt:lpwstr>eyJoZGlkIjoiNGIzOTc1MWM5Y2MwNWUwMGU4OGVmZjZjNmJhZmE5ZDgiLCJ1c2VySWQiOiIxMDg0Mjc3MzUxIn0=</vt:lpwstr>
  </property>
</Properties>
</file>