
<file path=[Content_Types].xml><?xml version="1.0" encoding="utf-8"?>
<Types xmlns="http://schemas.openxmlformats.org/package/2006/content-types">
  <Default Extension="docx" ContentType="application/vnd.openxmlformats-officedocument.wordprocessingml.documen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C14C4">
      <w:pPr>
        <w:spacing w:line="360" w:lineRule="auto"/>
        <w:rPr>
          <w:rFonts w:hint="eastAsia" w:ascii="楷体" w:hAnsi="楷体" w:eastAsia="楷体" w:cs="宋体"/>
          <w:kern w:val="10"/>
          <w:sz w:val="72"/>
          <w:szCs w:val="72"/>
          <w:highlight w:val="none"/>
        </w:rPr>
      </w:pPr>
      <w:r>
        <w:rPr>
          <w:rFonts w:hint="eastAsia" w:ascii="楷体" w:hAnsi="楷体" w:eastAsia="楷体" w:cs="宋体"/>
          <w:kern w:val="10"/>
          <w:sz w:val="72"/>
          <w:szCs w:val="72"/>
          <w:highlight w:val="none"/>
        </w:rPr>
        <w:t xml:space="preserve">   </w:t>
      </w:r>
    </w:p>
    <w:p w14:paraId="63858EF3">
      <w:pPr>
        <w:spacing w:line="360" w:lineRule="auto"/>
        <w:jc w:val="center"/>
        <w:rPr>
          <w:rFonts w:hint="eastAsia" w:ascii="楷体" w:hAnsi="楷体" w:eastAsia="楷体" w:cs="宋体"/>
          <w:b/>
          <w:kern w:val="10"/>
          <w:sz w:val="72"/>
          <w:szCs w:val="72"/>
          <w:highlight w:val="none"/>
        </w:rPr>
      </w:pPr>
      <w:r>
        <w:rPr>
          <w:rFonts w:hint="eastAsia" w:ascii="楷体" w:hAnsi="楷体" w:eastAsia="楷体" w:cs="宋体"/>
          <w:kern w:val="10"/>
          <w:sz w:val="72"/>
          <w:szCs w:val="72"/>
          <w:highlight w:val="none"/>
        </w:rPr>
        <w:t>招   标   文   件</w:t>
      </w:r>
    </w:p>
    <w:p w14:paraId="15C9E1C3">
      <w:pPr>
        <w:spacing w:line="360" w:lineRule="auto"/>
        <w:ind w:firstLine="1482" w:firstLineChars="337"/>
        <w:rPr>
          <w:rFonts w:hint="eastAsia" w:ascii="楷体" w:hAnsi="楷体" w:eastAsia="楷体" w:cs="宋体"/>
          <w:kern w:val="10"/>
          <w:sz w:val="44"/>
          <w:highlight w:val="none"/>
        </w:rPr>
      </w:pPr>
    </w:p>
    <w:p w14:paraId="7CE6B560">
      <w:pPr>
        <w:spacing w:line="360" w:lineRule="auto"/>
        <w:rPr>
          <w:rFonts w:hint="eastAsia" w:ascii="楷体" w:hAnsi="楷体" w:eastAsia="楷体" w:cs="宋体"/>
          <w:kern w:val="10"/>
          <w:sz w:val="44"/>
          <w:highlight w:val="none"/>
        </w:rPr>
      </w:pPr>
    </w:p>
    <w:p w14:paraId="39C92547">
      <w:pPr>
        <w:spacing w:line="360" w:lineRule="auto"/>
        <w:rPr>
          <w:rFonts w:hint="eastAsia" w:ascii="楷体" w:hAnsi="楷体" w:eastAsia="楷体" w:cs="宋体"/>
          <w:kern w:val="10"/>
          <w:sz w:val="44"/>
          <w:highlight w:val="none"/>
        </w:rPr>
      </w:pPr>
    </w:p>
    <w:p w14:paraId="74A7E2F1">
      <w:pPr>
        <w:spacing w:line="360" w:lineRule="auto"/>
        <w:jc w:val="center"/>
        <w:rPr>
          <w:rFonts w:hint="eastAsia" w:ascii="楷体" w:hAnsi="楷体" w:eastAsia="楷体"/>
          <w:b/>
          <w:sz w:val="32"/>
          <w:highlight w:val="none"/>
        </w:rPr>
      </w:pPr>
    </w:p>
    <w:p w14:paraId="67BA22B2">
      <w:pPr>
        <w:spacing w:line="360" w:lineRule="auto"/>
        <w:jc w:val="center"/>
        <w:rPr>
          <w:rFonts w:hint="eastAsia" w:ascii="楷体" w:hAnsi="楷体" w:eastAsia="楷体"/>
          <w:b/>
          <w:sz w:val="32"/>
          <w:highlight w:val="none"/>
        </w:rPr>
      </w:pPr>
    </w:p>
    <w:p w14:paraId="6AD1FD46">
      <w:pPr>
        <w:spacing w:line="360" w:lineRule="auto"/>
        <w:jc w:val="center"/>
        <w:rPr>
          <w:rFonts w:hint="eastAsia" w:ascii="楷体" w:hAnsi="楷体" w:eastAsia="楷体"/>
          <w:sz w:val="28"/>
          <w:szCs w:val="24"/>
          <w:highlight w:val="none"/>
        </w:rPr>
      </w:pPr>
      <w:r>
        <w:rPr>
          <w:rFonts w:hint="eastAsia" w:ascii="楷体" w:hAnsi="楷体" w:eastAsia="楷体"/>
          <w:b/>
          <w:sz w:val="32"/>
          <w:highlight w:val="none"/>
        </w:rPr>
        <w:t>项目名称：</w:t>
      </w:r>
      <w:bookmarkStart w:id="0" w:name="OLE_LINK1"/>
      <w:r>
        <w:rPr>
          <w:rFonts w:hint="eastAsia" w:ascii="楷体" w:hAnsi="楷体" w:eastAsia="楷体"/>
          <w:sz w:val="28"/>
          <w:szCs w:val="24"/>
          <w:highlight w:val="none"/>
        </w:rPr>
        <w:t>数智世界集团2026年</w:t>
      </w:r>
      <w:r>
        <w:rPr>
          <w:rFonts w:hint="eastAsia" w:ascii="楷体" w:hAnsi="楷体" w:eastAsia="楷体"/>
          <w:b/>
          <w:bCs/>
          <w:sz w:val="28"/>
          <w:szCs w:val="24"/>
          <w:highlight w:val="none"/>
        </w:rPr>
        <w:t>棉纱</w:t>
      </w:r>
      <w:r>
        <w:rPr>
          <w:rFonts w:hint="eastAsia" w:ascii="楷体" w:hAnsi="楷体" w:eastAsia="楷体"/>
          <w:sz w:val="28"/>
          <w:szCs w:val="24"/>
          <w:highlight w:val="none"/>
        </w:rPr>
        <w:t>公路运输</w:t>
      </w:r>
      <w:bookmarkEnd w:id="0"/>
      <w:r>
        <w:rPr>
          <w:rFonts w:hint="eastAsia" w:ascii="楷体" w:hAnsi="楷体" w:eastAsia="楷体"/>
          <w:sz w:val="28"/>
          <w:szCs w:val="24"/>
          <w:highlight w:val="none"/>
        </w:rPr>
        <w:t>服务项目</w:t>
      </w:r>
    </w:p>
    <w:p w14:paraId="14EE54E1">
      <w:pPr>
        <w:tabs>
          <w:tab w:val="center" w:pos="4153"/>
        </w:tabs>
        <w:spacing w:line="360" w:lineRule="auto"/>
        <w:jc w:val="left"/>
        <w:rPr>
          <w:rFonts w:hint="eastAsia" w:ascii="楷体" w:hAnsi="楷体" w:eastAsia="楷体" w:cs="宋体"/>
          <w:kern w:val="10"/>
          <w:sz w:val="28"/>
          <w:szCs w:val="28"/>
          <w:highlight w:val="none"/>
        </w:rPr>
      </w:pPr>
      <w:r>
        <w:rPr>
          <w:rFonts w:hint="eastAsia" w:ascii="楷体" w:hAnsi="楷体" w:eastAsia="楷体"/>
          <w:b/>
          <w:bCs/>
          <w:sz w:val="28"/>
          <w:szCs w:val="24"/>
          <w:highlight w:val="none"/>
        </w:rPr>
        <w:tab/>
      </w:r>
    </w:p>
    <w:p w14:paraId="163AE554">
      <w:pPr>
        <w:spacing w:line="360" w:lineRule="auto"/>
        <w:jc w:val="center"/>
        <w:rPr>
          <w:rFonts w:hint="eastAsia" w:ascii="楷体" w:hAnsi="楷体" w:eastAsia="楷体" w:cs="宋体"/>
          <w:kern w:val="10"/>
          <w:sz w:val="28"/>
          <w:szCs w:val="28"/>
          <w:highlight w:val="none"/>
        </w:rPr>
      </w:pPr>
    </w:p>
    <w:p w14:paraId="6C7C73B9">
      <w:pPr>
        <w:spacing w:line="360" w:lineRule="auto"/>
        <w:jc w:val="center"/>
        <w:rPr>
          <w:rFonts w:hint="eastAsia" w:ascii="楷体" w:hAnsi="楷体" w:eastAsia="楷体" w:cs="宋体"/>
          <w:kern w:val="10"/>
          <w:sz w:val="28"/>
          <w:szCs w:val="28"/>
          <w:highlight w:val="none"/>
        </w:rPr>
      </w:pPr>
    </w:p>
    <w:p w14:paraId="7D70607D">
      <w:pPr>
        <w:spacing w:line="360" w:lineRule="auto"/>
        <w:jc w:val="center"/>
        <w:rPr>
          <w:rFonts w:hint="eastAsia" w:ascii="楷体" w:hAnsi="楷体" w:eastAsia="楷体" w:cs="宋体"/>
          <w:kern w:val="10"/>
          <w:sz w:val="28"/>
          <w:szCs w:val="28"/>
          <w:highlight w:val="none"/>
        </w:rPr>
      </w:pPr>
    </w:p>
    <w:p w14:paraId="5B3284FC">
      <w:pPr>
        <w:spacing w:line="360" w:lineRule="auto"/>
        <w:jc w:val="center"/>
        <w:rPr>
          <w:rFonts w:hint="eastAsia" w:ascii="楷体" w:hAnsi="楷体" w:eastAsia="楷体" w:cs="宋体"/>
          <w:kern w:val="10"/>
          <w:sz w:val="28"/>
          <w:szCs w:val="28"/>
          <w:highlight w:val="none"/>
        </w:rPr>
      </w:pPr>
    </w:p>
    <w:p w14:paraId="3C248ED7">
      <w:pPr>
        <w:spacing w:line="360" w:lineRule="auto"/>
        <w:jc w:val="center"/>
        <w:rPr>
          <w:rFonts w:hint="eastAsia" w:ascii="楷体" w:hAnsi="楷体" w:eastAsia="楷体" w:cs="宋体"/>
          <w:kern w:val="10"/>
          <w:sz w:val="28"/>
          <w:szCs w:val="28"/>
          <w:highlight w:val="none"/>
        </w:rPr>
      </w:pPr>
    </w:p>
    <w:p w14:paraId="61889908">
      <w:pPr>
        <w:spacing w:line="360" w:lineRule="auto"/>
        <w:jc w:val="center"/>
        <w:rPr>
          <w:rFonts w:hint="eastAsia" w:ascii="楷体" w:hAnsi="楷体" w:eastAsia="楷体" w:cs="宋体"/>
          <w:kern w:val="10"/>
          <w:sz w:val="28"/>
          <w:szCs w:val="28"/>
          <w:highlight w:val="none"/>
        </w:rPr>
      </w:pPr>
    </w:p>
    <w:p w14:paraId="5063BA52">
      <w:pPr>
        <w:spacing w:line="360" w:lineRule="auto"/>
        <w:jc w:val="center"/>
        <w:rPr>
          <w:rFonts w:hint="eastAsia" w:ascii="楷体" w:hAnsi="楷体" w:eastAsia="楷体"/>
          <w:sz w:val="28"/>
          <w:szCs w:val="24"/>
          <w:highlight w:val="none"/>
        </w:rPr>
      </w:pPr>
      <w:r>
        <w:rPr>
          <w:rFonts w:hint="eastAsia" w:ascii="楷体" w:hAnsi="楷体" w:eastAsia="楷体" w:cs="宋体"/>
          <w:kern w:val="10"/>
          <w:sz w:val="28"/>
          <w:szCs w:val="28"/>
          <w:highlight w:val="none"/>
        </w:rPr>
        <w:t>招标人：</w:t>
      </w:r>
      <w:r>
        <w:rPr>
          <w:rFonts w:hint="eastAsia" w:ascii="楷体" w:hAnsi="楷体" w:eastAsia="楷体"/>
          <w:sz w:val="28"/>
          <w:szCs w:val="24"/>
          <w:highlight w:val="none"/>
        </w:rPr>
        <w:t>上海数智世界工业科技集团有限公司</w:t>
      </w:r>
    </w:p>
    <w:p w14:paraId="1CEFC3A4">
      <w:pPr>
        <w:spacing w:line="360" w:lineRule="auto"/>
        <w:jc w:val="center"/>
        <w:rPr>
          <w:rFonts w:hint="eastAsia" w:ascii="楷体" w:hAnsi="楷体" w:eastAsia="楷体" w:cs="宋体"/>
          <w:kern w:val="10"/>
          <w:sz w:val="28"/>
          <w:szCs w:val="28"/>
          <w:highlight w:val="none"/>
        </w:rPr>
      </w:pPr>
      <w:r>
        <w:rPr>
          <w:rFonts w:ascii="楷体" w:hAnsi="楷体" w:eastAsia="楷体" w:cs="宋体"/>
          <w:kern w:val="10"/>
          <w:sz w:val="28"/>
          <w:szCs w:val="28"/>
          <w:highlight w:val="none"/>
        </w:rPr>
        <w:t>日期</w:t>
      </w:r>
      <w:r>
        <w:rPr>
          <w:rFonts w:hint="eastAsia" w:ascii="楷体" w:hAnsi="楷体" w:eastAsia="楷体" w:cs="宋体"/>
          <w:kern w:val="10"/>
          <w:sz w:val="28"/>
          <w:szCs w:val="28"/>
          <w:highlight w:val="none"/>
        </w:rPr>
        <w:t>：2026</w:t>
      </w:r>
      <w:r>
        <w:rPr>
          <w:rFonts w:ascii="楷体" w:hAnsi="楷体" w:eastAsia="楷体" w:cs="宋体"/>
          <w:kern w:val="10"/>
          <w:sz w:val="28"/>
          <w:szCs w:val="28"/>
          <w:highlight w:val="none"/>
        </w:rPr>
        <w:t>年</w:t>
      </w:r>
      <w:r>
        <w:rPr>
          <w:rFonts w:hint="eastAsia" w:ascii="楷体" w:hAnsi="楷体" w:eastAsia="楷体" w:cs="宋体"/>
          <w:kern w:val="10"/>
          <w:sz w:val="28"/>
          <w:szCs w:val="28"/>
          <w:highlight w:val="none"/>
        </w:rPr>
        <w:t xml:space="preserve"> </w:t>
      </w:r>
      <w:r>
        <w:rPr>
          <w:rFonts w:hint="eastAsia" w:ascii="楷体" w:hAnsi="楷体" w:eastAsia="楷体" w:cs="宋体"/>
          <w:kern w:val="10"/>
          <w:sz w:val="28"/>
          <w:szCs w:val="28"/>
          <w:highlight w:val="none"/>
          <w:lang w:val="en-US" w:eastAsia="zh-CN"/>
        </w:rPr>
        <w:t>3</w:t>
      </w:r>
      <w:r>
        <w:rPr>
          <w:rFonts w:ascii="楷体" w:hAnsi="楷体" w:eastAsia="楷体" w:cs="宋体"/>
          <w:kern w:val="10"/>
          <w:sz w:val="28"/>
          <w:szCs w:val="28"/>
          <w:highlight w:val="none"/>
        </w:rPr>
        <w:t>月</w:t>
      </w:r>
      <w:r>
        <w:rPr>
          <w:rFonts w:ascii="楷体" w:hAnsi="楷体" w:eastAsia="楷体" w:cs="宋体"/>
          <w:kern w:val="10"/>
          <w:sz w:val="28"/>
          <w:szCs w:val="28"/>
          <w:highlight w:val="none"/>
        </w:rPr>
        <w:br w:type="page"/>
      </w:r>
    </w:p>
    <w:p w14:paraId="35313AFA">
      <w:pPr>
        <w:pStyle w:val="141"/>
        <w:spacing w:before="0" w:line="240" w:lineRule="auto"/>
        <w:jc w:val="center"/>
        <w:rPr>
          <w:rFonts w:hint="eastAsia" w:ascii="楷体" w:hAnsi="楷体" w:eastAsia="楷体"/>
          <w:color w:val="auto"/>
          <w:sz w:val="36"/>
          <w:highlight w:val="none"/>
        </w:rPr>
      </w:pPr>
      <w:bookmarkStart w:id="1" w:name="_Toc467846711"/>
      <w:bookmarkStart w:id="2" w:name="_Toc466930321"/>
      <w:bookmarkStart w:id="3" w:name="_Toc432068484"/>
      <w:r>
        <w:rPr>
          <w:rFonts w:ascii="楷体" w:hAnsi="楷体" w:eastAsia="楷体"/>
          <w:color w:val="auto"/>
          <w:sz w:val="36"/>
          <w:highlight w:val="none"/>
          <w:lang w:val="zh-CN"/>
        </w:rPr>
        <w:t>目录</w:t>
      </w:r>
    </w:p>
    <w:p w14:paraId="3CB05ED7">
      <w:pPr>
        <w:pStyle w:val="27"/>
        <w:tabs>
          <w:tab w:val="right" w:leader="dot" w:pos="8306"/>
        </w:tabs>
        <w:rPr>
          <w:highlight w:val="none"/>
        </w:rPr>
      </w:pPr>
      <w:r>
        <w:rPr>
          <w:highlight w:val="none"/>
          <w:lang w:val="zh-CN"/>
        </w:rPr>
        <w:fldChar w:fldCharType="begin"/>
      </w:r>
      <w:r>
        <w:rPr>
          <w:highlight w:val="none"/>
          <w:lang w:val="zh-CN"/>
        </w:rPr>
        <w:instrText xml:space="preserve">TOC \o "1-3" \h \u </w:instrText>
      </w:r>
      <w:r>
        <w:rPr>
          <w:highlight w:val="none"/>
          <w:lang w:val="zh-CN"/>
        </w:rPr>
        <w:fldChar w:fldCharType="separate"/>
      </w:r>
      <w:r>
        <w:rPr>
          <w:highlight w:val="none"/>
        </w:rPr>
        <w:fldChar w:fldCharType="begin"/>
      </w:r>
      <w:r>
        <w:rPr>
          <w:highlight w:val="none"/>
        </w:rPr>
        <w:instrText xml:space="preserve"> HYPERLINK \l "_Toc30363" </w:instrText>
      </w:r>
      <w:r>
        <w:rPr>
          <w:highlight w:val="none"/>
        </w:rPr>
        <w:fldChar w:fldCharType="separate"/>
      </w:r>
      <w:r>
        <w:rPr>
          <w:rFonts w:hint="eastAsia" w:ascii="楷体" w:hAnsi="楷体" w:eastAsia="楷体"/>
          <w:highlight w:val="none"/>
        </w:rPr>
        <w:t>第一章 招标公告</w:t>
      </w:r>
      <w:r>
        <w:rPr>
          <w:highlight w:val="none"/>
        </w:rPr>
        <w:tab/>
      </w:r>
      <w:r>
        <w:rPr>
          <w:highlight w:val="none"/>
        </w:rPr>
        <w:fldChar w:fldCharType="begin"/>
      </w:r>
      <w:r>
        <w:rPr>
          <w:highlight w:val="none"/>
        </w:rPr>
        <w:instrText xml:space="preserve"> PAGEREF _Toc30363 \h </w:instrText>
      </w:r>
      <w:r>
        <w:rPr>
          <w:highlight w:val="none"/>
        </w:rPr>
        <w:fldChar w:fldCharType="separate"/>
      </w:r>
      <w:r>
        <w:rPr>
          <w:highlight w:val="none"/>
        </w:rPr>
        <w:t>3</w:t>
      </w:r>
      <w:r>
        <w:rPr>
          <w:highlight w:val="none"/>
        </w:rPr>
        <w:fldChar w:fldCharType="end"/>
      </w:r>
      <w:r>
        <w:rPr>
          <w:highlight w:val="none"/>
        </w:rPr>
        <w:fldChar w:fldCharType="end"/>
      </w:r>
    </w:p>
    <w:p w14:paraId="553325A9">
      <w:pPr>
        <w:pStyle w:val="32"/>
        <w:tabs>
          <w:tab w:val="right" w:leader="dot" w:pos="8306"/>
        </w:tabs>
        <w:rPr>
          <w:highlight w:val="none"/>
        </w:rPr>
      </w:pPr>
      <w:r>
        <w:rPr>
          <w:highlight w:val="none"/>
        </w:rPr>
        <w:fldChar w:fldCharType="begin"/>
      </w:r>
      <w:r>
        <w:rPr>
          <w:highlight w:val="none"/>
        </w:rPr>
        <w:instrText xml:space="preserve"> HYPERLINK \l "_Toc28337" </w:instrText>
      </w:r>
      <w:r>
        <w:rPr>
          <w:highlight w:val="none"/>
        </w:rPr>
        <w:fldChar w:fldCharType="separate"/>
      </w:r>
      <w:r>
        <w:rPr>
          <w:rFonts w:hint="eastAsia" w:ascii="楷体" w:hAnsi="楷体" w:eastAsia="楷体"/>
          <w:highlight w:val="none"/>
        </w:rPr>
        <w:t>一、项目概况</w:t>
      </w:r>
      <w:r>
        <w:rPr>
          <w:highlight w:val="none"/>
        </w:rPr>
        <w:tab/>
      </w:r>
      <w:r>
        <w:rPr>
          <w:highlight w:val="none"/>
        </w:rPr>
        <w:fldChar w:fldCharType="begin"/>
      </w:r>
      <w:r>
        <w:rPr>
          <w:highlight w:val="none"/>
        </w:rPr>
        <w:instrText xml:space="preserve"> PAGEREF _Toc28337 \h </w:instrText>
      </w:r>
      <w:r>
        <w:rPr>
          <w:highlight w:val="none"/>
        </w:rPr>
        <w:fldChar w:fldCharType="separate"/>
      </w:r>
      <w:r>
        <w:rPr>
          <w:highlight w:val="none"/>
        </w:rPr>
        <w:t>3</w:t>
      </w:r>
      <w:r>
        <w:rPr>
          <w:highlight w:val="none"/>
        </w:rPr>
        <w:fldChar w:fldCharType="end"/>
      </w:r>
      <w:r>
        <w:rPr>
          <w:highlight w:val="none"/>
        </w:rPr>
        <w:fldChar w:fldCharType="end"/>
      </w:r>
    </w:p>
    <w:p w14:paraId="2638B025">
      <w:pPr>
        <w:pStyle w:val="32"/>
        <w:tabs>
          <w:tab w:val="right" w:leader="dot" w:pos="8306"/>
        </w:tabs>
        <w:rPr>
          <w:highlight w:val="none"/>
        </w:rPr>
      </w:pPr>
      <w:r>
        <w:rPr>
          <w:highlight w:val="none"/>
        </w:rPr>
        <w:fldChar w:fldCharType="begin"/>
      </w:r>
      <w:r>
        <w:rPr>
          <w:highlight w:val="none"/>
        </w:rPr>
        <w:instrText xml:space="preserve"> HYPERLINK \l "_Toc1305" </w:instrText>
      </w:r>
      <w:r>
        <w:rPr>
          <w:highlight w:val="none"/>
        </w:rPr>
        <w:fldChar w:fldCharType="separate"/>
      </w:r>
      <w:r>
        <w:rPr>
          <w:rFonts w:hint="eastAsia" w:ascii="楷体" w:hAnsi="楷体" w:eastAsia="楷体"/>
          <w:highlight w:val="none"/>
        </w:rPr>
        <w:t>二、投标人资格要求（入围要求）</w:t>
      </w:r>
      <w:r>
        <w:rPr>
          <w:highlight w:val="none"/>
        </w:rPr>
        <w:tab/>
      </w:r>
      <w:r>
        <w:rPr>
          <w:highlight w:val="none"/>
        </w:rPr>
        <w:fldChar w:fldCharType="begin"/>
      </w:r>
      <w:r>
        <w:rPr>
          <w:highlight w:val="none"/>
        </w:rPr>
        <w:instrText xml:space="preserve"> PAGEREF _Toc1305 \h </w:instrText>
      </w:r>
      <w:r>
        <w:rPr>
          <w:highlight w:val="none"/>
        </w:rPr>
        <w:fldChar w:fldCharType="separate"/>
      </w:r>
      <w:r>
        <w:rPr>
          <w:highlight w:val="none"/>
        </w:rPr>
        <w:t>6</w:t>
      </w:r>
      <w:r>
        <w:rPr>
          <w:highlight w:val="none"/>
        </w:rPr>
        <w:fldChar w:fldCharType="end"/>
      </w:r>
      <w:r>
        <w:rPr>
          <w:highlight w:val="none"/>
        </w:rPr>
        <w:fldChar w:fldCharType="end"/>
      </w:r>
    </w:p>
    <w:p w14:paraId="67CA368F">
      <w:pPr>
        <w:pStyle w:val="32"/>
        <w:tabs>
          <w:tab w:val="right" w:leader="dot" w:pos="8306"/>
        </w:tabs>
        <w:rPr>
          <w:highlight w:val="none"/>
        </w:rPr>
      </w:pPr>
      <w:r>
        <w:rPr>
          <w:highlight w:val="none"/>
        </w:rPr>
        <w:fldChar w:fldCharType="begin"/>
      </w:r>
      <w:r>
        <w:rPr>
          <w:highlight w:val="none"/>
        </w:rPr>
        <w:instrText xml:space="preserve"> HYPERLINK \l "_Toc18771" </w:instrText>
      </w:r>
      <w:r>
        <w:rPr>
          <w:highlight w:val="none"/>
        </w:rPr>
        <w:fldChar w:fldCharType="separate"/>
      </w:r>
      <w:r>
        <w:rPr>
          <w:rFonts w:hint="eastAsia" w:ascii="楷体" w:hAnsi="楷体" w:eastAsia="楷体"/>
          <w:highlight w:val="none"/>
        </w:rPr>
        <w:t>三、投标人报价</w:t>
      </w:r>
      <w:r>
        <w:rPr>
          <w:highlight w:val="none"/>
        </w:rPr>
        <w:tab/>
      </w:r>
      <w:r>
        <w:rPr>
          <w:highlight w:val="none"/>
        </w:rPr>
        <w:fldChar w:fldCharType="begin"/>
      </w:r>
      <w:r>
        <w:rPr>
          <w:highlight w:val="none"/>
        </w:rPr>
        <w:instrText xml:space="preserve"> PAGEREF _Toc18771 \h </w:instrText>
      </w:r>
      <w:r>
        <w:rPr>
          <w:highlight w:val="none"/>
        </w:rPr>
        <w:fldChar w:fldCharType="separate"/>
      </w:r>
      <w:r>
        <w:rPr>
          <w:highlight w:val="none"/>
        </w:rPr>
        <w:t>8</w:t>
      </w:r>
      <w:r>
        <w:rPr>
          <w:highlight w:val="none"/>
        </w:rPr>
        <w:fldChar w:fldCharType="end"/>
      </w:r>
      <w:r>
        <w:rPr>
          <w:highlight w:val="none"/>
        </w:rPr>
        <w:fldChar w:fldCharType="end"/>
      </w:r>
    </w:p>
    <w:p w14:paraId="539BF1DA">
      <w:pPr>
        <w:pStyle w:val="32"/>
        <w:tabs>
          <w:tab w:val="right" w:leader="dot" w:pos="8306"/>
        </w:tabs>
        <w:rPr>
          <w:highlight w:val="none"/>
        </w:rPr>
      </w:pPr>
      <w:r>
        <w:rPr>
          <w:highlight w:val="none"/>
        </w:rPr>
        <w:fldChar w:fldCharType="begin"/>
      </w:r>
      <w:r>
        <w:rPr>
          <w:highlight w:val="none"/>
        </w:rPr>
        <w:instrText xml:space="preserve"> HYPERLINK \l "_Toc7169" </w:instrText>
      </w:r>
      <w:r>
        <w:rPr>
          <w:highlight w:val="none"/>
        </w:rPr>
        <w:fldChar w:fldCharType="separate"/>
      </w:r>
      <w:r>
        <w:rPr>
          <w:rFonts w:hint="eastAsia" w:ascii="楷体" w:hAnsi="楷体" w:eastAsia="楷体"/>
          <w:highlight w:val="none"/>
        </w:rPr>
        <w:t>四、投标文件的递交</w:t>
      </w:r>
      <w:r>
        <w:rPr>
          <w:highlight w:val="none"/>
        </w:rPr>
        <w:tab/>
      </w:r>
      <w:r>
        <w:rPr>
          <w:highlight w:val="none"/>
        </w:rPr>
        <w:fldChar w:fldCharType="begin"/>
      </w:r>
      <w:r>
        <w:rPr>
          <w:highlight w:val="none"/>
        </w:rPr>
        <w:instrText xml:space="preserve"> PAGEREF _Toc7169 \h </w:instrText>
      </w:r>
      <w:r>
        <w:rPr>
          <w:highlight w:val="none"/>
        </w:rPr>
        <w:fldChar w:fldCharType="separate"/>
      </w:r>
      <w:r>
        <w:rPr>
          <w:highlight w:val="none"/>
        </w:rPr>
        <w:t>8</w:t>
      </w:r>
      <w:r>
        <w:rPr>
          <w:highlight w:val="none"/>
        </w:rPr>
        <w:fldChar w:fldCharType="end"/>
      </w:r>
      <w:r>
        <w:rPr>
          <w:highlight w:val="none"/>
        </w:rPr>
        <w:fldChar w:fldCharType="end"/>
      </w:r>
    </w:p>
    <w:p w14:paraId="209A133C">
      <w:pPr>
        <w:pStyle w:val="32"/>
        <w:tabs>
          <w:tab w:val="right" w:leader="dot" w:pos="8306"/>
        </w:tabs>
        <w:rPr>
          <w:highlight w:val="none"/>
        </w:rPr>
      </w:pPr>
      <w:r>
        <w:rPr>
          <w:highlight w:val="none"/>
        </w:rPr>
        <w:fldChar w:fldCharType="begin"/>
      </w:r>
      <w:r>
        <w:rPr>
          <w:highlight w:val="none"/>
        </w:rPr>
        <w:instrText xml:space="preserve"> HYPERLINK \l "_Toc25815" </w:instrText>
      </w:r>
      <w:r>
        <w:rPr>
          <w:highlight w:val="none"/>
        </w:rPr>
        <w:fldChar w:fldCharType="separate"/>
      </w:r>
      <w:r>
        <w:rPr>
          <w:rFonts w:hint="eastAsia" w:ascii="楷体" w:hAnsi="楷体" w:eastAsia="楷体"/>
          <w:highlight w:val="none"/>
        </w:rPr>
        <w:t>五、中标通知</w:t>
      </w:r>
      <w:r>
        <w:rPr>
          <w:highlight w:val="none"/>
        </w:rPr>
        <w:tab/>
      </w:r>
      <w:r>
        <w:rPr>
          <w:highlight w:val="none"/>
        </w:rPr>
        <w:fldChar w:fldCharType="begin"/>
      </w:r>
      <w:r>
        <w:rPr>
          <w:highlight w:val="none"/>
        </w:rPr>
        <w:instrText xml:space="preserve"> PAGEREF _Toc25815 \h </w:instrText>
      </w:r>
      <w:r>
        <w:rPr>
          <w:highlight w:val="none"/>
        </w:rPr>
        <w:fldChar w:fldCharType="separate"/>
      </w:r>
      <w:r>
        <w:rPr>
          <w:highlight w:val="none"/>
        </w:rPr>
        <w:t>8</w:t>
      </w:r>
      <w:r>
        <w:rPr>
          <w:highlight w:val="none"/>
        </w:rPr>
        <w:fldChar w:fldCharType="end"/>
      </w:r>
      <w:r>
        <w:rPr>
          <w:highlight w:val="none"/>
        </w:rPr>
        <w:fldChar w:fldCharType="end"/>
      </w:r>
    </w:p>
    <w:p w14:paraId="51E0B2DF">
      <w:pPr>
        <w:pStyle w:val="32"/>
        <w:tabs>
          <w:tab w:val="right" w:leader="dot" w:pos="8306"/>
        </w:tabs>
        <w:rPr>
          <w:highlight w:val="none"/>
        </w:rPr>
      </w:pPr>
      <w:r>
        <w:rPr>
          <w:highlight w:val="none"/>
        </w:rPr>
        <w:fldChar w:fldCharType="begin"/>
      </w:r>
      <w:r>
        <w:rPr>
          <w:highlight w:val="none"/>
        </w:rPr>
        <w:instrText xml:space="preserve"> HYPERLINK \l "_Toc10984" </w:instrText>
      </w:r>
      <w:r>
        <w:rPr>
          <w:highlight w:val="none"/>
        </w:rPr>
        <w:fldChar w:fldCharType="separate"/>
      </w:r>
      <w:r>
        <w:rPr>
          <w:rFonts w:hint="eastAsia" w:ascii="楷体" w:hAnsi="楷体" w:eastAsia="楷体"/>
          <w:highlight w:val="none"/>
        </w:rPr>
        <w:t>六、投诉方式</w:t>
      </w:r>
      <w:r>
        <w:rPr>
          <w:highlight w:val="none"/>
        </w:rPr>
        <w:tab/>
      </w:r>
      <w:r>
        <w:rPr>
          <w:highlight w:val="none"/>
        </w:rPr>
        <w:fldChar w:fldCharType="begin"/>
      </w:r>
      <w:r>
        <w:rPr>
          <w:highlight w:val="none"/>
        </w:rPr>
        <w:instrText xml:space="preserve"> PAGEREF _Toc10984 \h </w:instrText>
      </w:r>
      <w:r>
        <w:rPr>
          <w:highlight w:val="none"/>
        </w:rPr>
        <w:fldChar w:fldCharType="separate"/>
      </w:r>
      <w:r>
        <w:rPr>
          <w:highlight w:val="none"/>
        </w:rPr>
        <w:t>9</w:t>
      </w:r>
      <w:r>
        <w:rPr>
          <w:highlight w:val="none"/>
        </w:rPr>
        <w:fldChar w:fldCharType="end"/>
      </w:r>
      <w:r>
        <w:rPr>
          <w:highlight w:val="none"/>
        </w:rPr>
        <w:fldChar w:fldCharType="end"/>
      </w:r>
    </w:p>
    <w:p w14:paraId="343AF931">
      <w:pPr>
        <w:pStyle w:val="32"/>
        <w:tabs>
          <w:tab w:val="right" w:leader="dot" w:pos="8306"/>
        </w:tabs>
        <w:rPr>
          <w:highlight w:val="none"/>
        </w:rPr>
      </w:pPr>
      <w:r>
        <w:rPr>
          <w:highlight w:val="none"/>
        </w:rPr>
        <w:fldChar w:fldCharType="begin"/>
      </w:r>
      <w:r>
        <w:rPr>
          <w:highlight w:val="none"/>
        </w:rPr>
        <w:instrText xml:space="preserve"> HYPERLINK \l "_Toc3436" </w:instrText>
      </w:r>
      <w:r>
        <w:rPr>
          <w:highlight w:val="none"/>
        </w:rPr>
        <w:fldChar w:fldCharType="separate"/>
      </w:r>
      <w:r>
        <w:rPr>
          <w:rFonts w:hint="eastAsia" w:ascii="楷体" w:hAnsi="楷体" w:eastAsia="楷体"/>
          <w:highlight w:val="none"/>
        </w:rPr>
        <w:t>七、联系方式</w:t>
      </w:r>
      <w:r>
        <w:rPr>
          <w:highlight w:val="none"/>
        </w:rPr>
        <w:tab/>
      </w:r>
      <w:r>
        <w:rPr>
          <w:highlight w:val="none"/>
        </w:rPr>
        <w:fldChar w:fldCharType="begin"/>
      </w:r>
      <w:r>
        <w:rPr>
          <w:highlight w:val="none"/>
        </w:rPr>
        <w:instrText xml:space="preserve"> PAGEREF _Toc3436 \h </w:instrText>
      </w:r>
      <w:r>
        <w:rPr>
          <w:highlight w:val="none"/>
        </w:rPr>
        <w:fldChar w:fldCharType="separate"/>
      </w:r>
      <w:r>
        <w:rPr>
          <w:highlight w:val="none"/>
        </w:rPr>
        <w:t>9</w:t>
      </w:r>
      <w:r>
        <w:rPr>
          <w:highlight w:val="none"/>
        </w:rPr>
        <w:fldChar w:fldCharType="end"/>
      </w:r>
      <w:r>
        <w:rPr>
          <w:highlight w:val="none"/>
        </w:rPr>
        <w:fldChar w:fldCharType="end"/>
      </w:r>
    </w:p>
    <w:p w14:paraId="5576A105">
      <w:pPr>
        <w:pStyle w:val="27"/>
        <w:tabs>
          <w:tab w:val="right" w:leader="dot" w:pos="8306"/>
        </w:tabs>
        <w:rPr>
          <w:highlight w:val="none"/>
        </w:rPr>
      </w:pPr>
      <w:r>
        <w:rPr>
          <w:highlight w:val="none"/>
        </w:rPr>
        <w:fldChar w:fldCharType="begin"/>
      </w:r>
      <w:r>
        <w:rPr>
          <w:highlight w:val="none"/>
        </w:rPr>
        <w:instrText xml:space="preserve"> HYPERLINK \l "_Toc17513" </w:instrText>
      </w:r>
      <w:r>
        <w:rPr>
          <w:highlight w:val="none"/>
        </w:rPr>
        <w:fldChar w:fldCharType="separate"/>
      </w:r>
      <w:r>
        <w:rPr>
          <w:rFonts w:hint="eastAsia" w:ascii="楷体" w:hAnsi="楷体" w:eastAsia="楷体"/>
          <w:highlight w:val="none"/>
        </w:rPr>
        <w:t>第二章  投标人须知</w:t>
      </w:r>
      <w:r>
        <w:rPr>
          <w:highlight w:val="none"/>
        </w:rPr>
        <w:tab/>
      </w:r>
      <w:r>
        <w:rPr>
          <w:highlight w:val="none"/>
        </w:rPr>
        <w:fldChar w:fldCharType="begin"/>
      </w:r>
      <w:r>
        <w:rPr>
          <w:highlight w:val="none"/>
        </w:rPr>
        <w:instrText xml:space="preserve"> PAGEREF _Toc17513 \h </w:instrText>
      </w:r>
      <w:r>
        <w:rPr>
          <w:highlight w:val="none"/>
        </w:rPr>
        <w:fldChar w:fldCharType="separate"/>
      </w:r>
      <w:r>
        <w:rPr>
          <w:highlight w:val="none"/>
        </w:rPr>
        <w:t>9</w:t>
      </w:r>
      <w:r>
        <w:rPr>
          <w:highlight w:val="none"/>
        </w:rPr>
        <w:fldChar w:fldCharType="end"/>
      </w:r>
      <w:r>
        <w:rPr>
          <w:highlight w:val="none"/>
        </w:rPr>
        <w:fldChar w:fldCharType="end"/>
      </w:r>
    </w:p>
    <w:p w14:paraId="430C1CF3">
      <w:pPr>
        <w:pStyle w:val="32"/>
        <w:tabs>
          <w:tab w:val="right" w:leader="dot" w:pos="8306"/>
        </w:tabs>
        <w:rPr>
          <w:highlight w:val="none"/>
        </w:rPr>
      </w:pPr>
      <w:r>
        <w:rPr>
          <w:highlight w:val="none"/>
        </w:rPr>
        <w:fldChar w:fldCharType="begin"/>
      </w:r>
      <w:r>
        <w:rPr>
          <w:highlight w:val="none"/>
        </w:rPr>
        <w:instrText xml:space="preserve"> HYPERLINK \l "_Toc19909" </w:instrText>
      </w:r>
      <w:r>
        <w:rPr>
          <w:highlight w:val="none"/>
        </w:rPr>
        <w:fldChar w:fldCharType="separate"/>
      </w:r>
      <w:r>
        <w:rPr>
          <w:rFonts w:hint="eastAsia" w:ascii="楷体" w:hAnsi="楷体" w:eastAsia="楷体"/>
          <w:highlight w:val="none"/>
        </w:rPr>
        <w:t>一、重要提示1：投标人“围标串标”行为处罚</w:t>
      </w:r>
      <w:r>
        <w:rPr>
          <w:highlight w:val="none"/>
        </w:rPr>
        <w:tab/>
      </w:r>
      <w:r>
        <w:rPr>
          <w:highlight w:val="none"/>
        </w:rPr>
        <w:fldChar w:fldCharType="begin"/>
      </w:r>
      <w:r>
        <w:rPr>
          <w:highlight w:val="none"/>
        </w:rPr>
        <w:instrText xml:space="preserve"> PAGEREF _Toc19909 \h </w:instrText>
      </w:r>
      <w:r>
        <w:rPr>
          <w:highlight w:val="none"/>
        </w:rPr>
        <w:fldChar w:fldCharType="separate"/>
      </w:r>
      <w:r>
        <w:rPr>
          <w:highlight w:val="none"/>
        </w:rPr>
        <w:t>9</w:t>
      </w:r>
      <w:r>
        <w:rPr>
          <w:highlight w:val="none"/>
        </w:rPr>
        <w:fldChar w:fldCharType="end"/>
      </w:r>
      <w:r>
        <w:rPr>
          <w:highlight w:val="none"/>
        </w:rPr>
        <w:fldChar w:fldCharType="end"/>
      </w:r>
    </w:p>
    <w:p w14:paraId="42BF71D7">
      <w:pPr>
        <w:pStyle w:val="32"/>
        <w:tabs>
          <w:tab w:val="right" w:leader="dot" w:pos="8306"/>
        </w:tabs>
        <w:rPr>
          <w:highlight w:val="none"/>
        </w:rPr>
      </w:pPr>
      <w:r>
        <w:rPr>
          <w:highlight w:val="none"/>
        </w:rPr>
        <w:fldChar w:fldCharType="begin"/>
      </w:r>
      <w:r>
        <w:rPr>
          <w:highlight w:val="none"/>
        </w:rPr>
        <w:instrText xml:space="preserve"> HYPERLINK \l "_Toc2281" </w:instrText>
      </w:r>
      <w:r>
        <w:rPr>
          <w:highlight w:val="none"/>
        </w:rPr>
        <w:fldChar w:fldCharType="separate"/>
      </w:r>
      <w:r>
        <w:rPr>
          <w:rFonts w:hint="eastAsia" w:ascii="楷体" w:hAnsi="楷体" w:eastAsia="楷体"/>
          <w:highlight w:val="none"/>
        </w:rPr>
        <w:t>二、重要提示2：无效投标文件的判定及否决投标的</w:t>
      </w:r>
      <w:r>
        <w:rPr>
          <w:rFonts w:hint="eastAsia" w:ascii="楷体" w:hAnsi="楷体" w:eastAsia="楷体"/>
          <w:highlight w:val="none"/>
          <w:lang w:eastAsia="zh-Hans"/>
        </w:rPr>
        <w:t>情形</w:t>
      </w:r>
      <w:r>
        <w:rPr>
          <w:rFonts w:hint="eastAsia" w:ascii="楷体" w:hAnsi="楷体" w:eastAsia="楷体"/>
          <w:highlight w:val="none"/>
        </w:rPr>
        <w:t>：</w:t>
      </w:r>
      <w:r>
        <w:rPr>
          <w:highlight w:val="none"/>
        </w:rPr>
        <w:tab/>
      </w:r>
      <w:r>
        <w:rPr>
          <w:highlight w:val="none"/>
        </w:rPr>
        <w:fldChar w:fldCharType="begin"/>
      </w:r>
      <w:r>
        <w:rPr>
          <w:highlight w:val="none"/>
        </w:rPr>
        <w:instrText xml:space="preserve"> PAGEREF _Toc2281 \h </w:instrText>
      </w:r>
      <w:r>
        <w:rPr>
          <w:highlight w:val="none"/>
        </w:rPr>
        <w:fldChar w:fldCharType="separate"/>
      </w:r>
      <w:r>
        <w:rPr>
          <w:highlight w:val="none"/>
        </w:rPr>
        <w:t>9</w:t>
      </w:r>
      <w:r>
        <w:rPr>
          <w:highlight w:val="none"/>
        </w:rPr>
        <w:fldChar w:fldCharType="end"/>
      </w:r>
      <w:r>
        <w:rPr>
          <w:highlight w:val="none"/>
        </w:rPr>
        <w:fldChar w:fldCharType="end"/>
      </w:r>
    </w:p>
    <w:p w14:paraId="457F1D99">
      <w:pPr>
        <w:pStyle w:val="32"/>
        <w:tabs>
          <w:tab w:val="right" w:leader="dot" w:pos="8306"/>
        </w:tabs>
        <w:rPr>
          <w:highlight w:val="none"/>
        </w:rPr>
      </w:pPr>
      <w:r>
        <w:rPr>
          <w:highlight w:val="none"/>
        </w:rPr>
        <w:fldChar w:fldCharType="begin"/>
      </w:r>
      <w:r>
        <w:rPr>
          <w:highlight w:val="none"/>
        </w:rPr>
        <w:instrText xml:space="preserve"> HYPERLINK \l "_Toc27462" </w:instrText>
      </w:r>
      <w:r>
        <w:rPr>
          <w:highlight w:val="none"/>
        </w:rPr>
        <w:fldChar w:fldCharType="separate"/>
      </w:r>
      <w:r>
        <w:rPr>
          <w:rFonts w:hint="eastAsia" w:ascii="楷体" w:hAnsi="楷体" w:eastAsia="楷体"/>
          <w:highlight w:val="none"/>
        </w:rPr>
        <w:t>二、投标人须知前附表</w:t>
      </w:r>
      <w:r>
        <w:rPr>
          <w:highlight w:val="none"/>
        </w:rPr>
        <w:tab/>
      </w:r>
      <w:r>
        <w:rPr>
          <w:highlight w:val="none"/>
        </w:rPr>
        <w:fldChar w:fldCharType="begin"/>
      </w:r>
      <w:r>
        <w:rPr>
          <w:highlight w:val="none"/>
        </w:rPr>
        <w:instrText xml:space="preserve"> PAGEREF _Toc27462 \h </w:instrText>
      </w:r>
      <w:r>
        <w:rPr>
          <w:highlight w:val="none"/>
        </w:rPr>
        <w:fldChar w:fldCharType="separate"/>
      </w:r>
      <w:r>
        <w:rPr>
          <w:highlight w:val="none"/>
        </w:rPr>
        <w:t>10</w:t>
      </w:r>
      <w:r>
        <w:rPr>
          <w:highlight w:val="none"/>
        </w:rPr>
        <w:fldChar w:fldCharType="end"/>
      </w:r>
      <w:r>
        <w:rPr>
          <w:highlight w:val="none"/>
        </w:rPr>
        <w:fldChar w:fldCharType="end"/>
      </w:r>
    </w:p>
    <w:p w14:paraId="389F3DEA">
      <w:pPr>
        <w:pStyle w:val="32"/>
        <w:tabs>
          <w:tab w:val="right" w:leader="dot" w:pos="8306"/>
        </w:tabs>
        <w:rPr>
          <w:highlight w:val="none"/>
        </w:rPr>
      </w:pPr>
      <w:r>
        <w:rPr>
          <w:highlight w:val="none"/>
        </w:rPr>
        <w:fldChar w:fldCharType="begin"/>
      </w:r>
      <w:r>
        <w:rPr>
          <w:highlight w:val="none"/>
        </w:rPr>
        <w:instrText xml:space="preserve"> HYPERLINK \l "_Toc31876" </w:instrText>
      </w:r>
      <w:r>
        <w:rPr>
          <w:highlight w:val="none"/>
        </w:rPr>
        <w:fldChar w:fldCharType="separate"/>
      </w:r>
      <w:r>
        <w:rPr>
          <w:rFonts w:hint="eastAsia" w:ascii="楷体" w:hAnsi="楷体" w:eastAsia="楷体"/>
          <w:highlight w:val="none"/>
        </w:rPr>
        <w:t>三、供应商廉洁诚信须知</w:t>
      </w:r>
      <w:r>
        <w:rPr>
          <w:highlight w:val="none"/>
        </w:rPr>
        <w:tab/>
      </w:r>
      <w:r>
        <w:rPr>
          <w:highlight w:val="none"/>
        </w:rPr>
        <w:fldChar w:fldCharType="begin"/>
      </w:r>
      <w:r>
        <w:rPr>
          <w:highlight w:val="none"/>
        </w:rPr>
        <w:instrText xml:space="preserve"> PAGEREF _Toc31876 \h </w:instrText>
      </w:r>
      <w:r>
        <w:rPr>
          <w:highlight w:val="none"/>
        </w:rPr>
        <w:fldChar w:fldCharType="separate"/>
      </w:r>
      <w:r>
        <w:rPr>
          <w:highlight w:val="none"/>
        </w:rPr>
        <w:t>11</w:t>
      </w:r>
      <w:r>
        <w:rPr>
          <w:highlight w:val="none"/>
        </w:rPr>
        <w:fldChar w:fldCharType="end"/>
      </w:r>
      <w:r>
        <w:rPr>
          <w:highlight w:val="none"/>
        </w:rPr>
        <w:fldChar w:fldCharType="end"/>
      </w:r>
    </w:p>
    <w:p w14:paraId="501710D9">
      <w:pPr>
        <w:pStyle w:val="32"/>
        <w:tabs>
          <w:tab w:val="right" w:leader="dot" w:pos="8306"/>
        </w:tabs>
        <w:rPr>
          <w:highlight w:val="none"/>
        </w:rPr>
      </w:pPr>
      <w:r>
        <w:rPr>
          <w:highlight w:val="none"/>
        </w:rPr>
        <w:fldChar w:fldCharType="begin"/>
      </w:r>
      <w:r>
        <w:rPr>
          <w:highlight w:val="none"/>
        </w:rPr>
        <w:instrText xml:space="preserve"> HYPERLINK \l "_Toc1211" </w:instrText>
      </w:r>
      <w:r>
        <w:rPr>
          <w:highlight w:val="none"/>
        </w:rPr>
        <w:fldChar w:fldCharType="separate"/>
      </w:r>
      <w:r>
        <w:rPr>
          <w:rFonts w:hint="eastAsia" w:ascii="楷体" w:hAnsi="楷体" w:eastAsia="楷体"/>
          <w:highlight w:val="none"/>
        </w:rPr>
        <w:t>四、保密及不披露协议</w:t>
      </w:r>
      <w:r>
        <w:rPr>
          <w:highlight w:val="none"/>
        </w:rPr>
        <w:tab/>
      </w:r>
      <w:r>
        <w:rPr>
          <w:highlight w:val="none"/>
        </w:rPr>
        <w:fldChar w:fldCharType="begin"/>
      </w:r>
      <w:r>
        <w:rPr>
          <w:highlight w:val="none"/>
        </w:rPr>
        <w:instrText xml:space="preserve"> PAGEREF _Toc1211 \h </w:instrText>
      </w:r>
      <w:r>
        <w:rPr>
          <w:highlight w:val="none"/>
        </w:rPr>
        <w:fldChar w:fldCharType="separate"/>
      </w:r>
      <w:r>
        <w:rPr>
          <w:highlight w:val="none"/>
        </w:rPr>
        <w:t>14</w:t>
      </w:r>
      <w:r>
        <w:rPr>
          <w:highlight w:val="none"/>
        </w:rPr>
        <w:fldChar w:fldCharType="end"/>
      </w:r>
      <w:r>
        <w:rPr>
          <w:highlight w:val="none"/>
        </w:rPr>
        <w:fldChar w:fldCharType="end"/>
      </w:r>
    </w:p>
    <w:p w14:paraId="1FEE42AE">
      <w:pPr>
        <w:pStyle w:val="32"/>
        <w:tabs>
          <w:tab w:val="right" w:leader="dot" w:pos="8306"/>
        </w:tabs>
        <w:rPr>
          <w:highlight w:val="none"/>
        </w:rPr>
      </w:pPr>
      <w:r>
        <w:rPr>
          <w:highlight w:val="none"/>
        </w:rPr>
        <w:fldChar w:fldCharType="begin"/>
      </w:r>
      <w:r>
        <w:rPr>
          <w:highlight w:val="none"/>
        </w:rPr>
        <w:instrText xml:space="preserve"> HYPERLINK \l "_Toc18798" </w:instrText>
      </w:r>
      <w:r>
        <w:rPr>
          <w:highlight w:val="none"/>
        </w:rPr>
        <w:fldChar w:fldCharType="separate"/>
      </w:r>
      <w:r>
        <w:rPr>
          <w:rFonts w:hint="eastAsia" w:ascii="楷体" w:hAnsi="楷体" w:eastAsia="楷体" w:cs="楷体"/>
          <w:highlight w:val="none"/>
        </w:rPr>
        <w:t>五、评标办法</w:t>
      </w:r>
      <w:r>
        <w:rPr>
          <w:highlight w:val="none"/>
        </w:rPr>
        <w:tab/>
      </w:r>
      <w:r>
        <w:rPr>
          <w:highlight w:val="none"/>
        </w:rPr>
        <w:fldChar w:fldCharType="begin"/>
      </w:r>
      <w:r>
        <w:rPr>
          <w:highlight w:val="none"/>
        </w:rPr>
        <w:instrText xml:space="preserve"> PAGEREF _Toc18798 \h </w:instrText>
      </w:r>
      <w:r>
        <w:rPr>
          <w:highlight w:val="none"/>
        </w:rPr>
        <w:fldChar w:fldCharType="separate"/>
      </w:r>
      <w:r>
        <w:rPr>
          <w:highlight w:val="none"/>
        </w:rPr>
        <w:t>19</w:t>
      </w:r>
      <w:r>
        <w:rPr>
          <w:highlight w:val="none"/>
        </w:rPr>
        <w:fldChar w:fldCharType="end"/>
      </w:r>
      <w:r>
        <w:rPr>
          <w:highlight w:val="none"/>
        </w:rPr>
        <w:fldChar w:fldCharType="end"/>
      </w:r>
    </w:p>
    <w:p w14:paraId="1280CBA1">
      <w:pPr>
        <w:pStyle w:val="27"/>
        <w:tabs>
          <w:tab w:val="right" w:leader="dot" w:pos="8306"/>
        </w:tabs>
        <w:rPr>
          <w:highlight w:val="none"/>
        </w:rPr>
      </w:pPr>
      <w:r>
        <w:rPr>
          <w:highlight w:val="none"/>
        </w:rPr>
        <w:fldChar w:fldCharType="begin"/>
      </w:r>
      <w:r>
        <w:rPr>
          <w:highlight w:val="none"/>
        </w:rPr>
        <w:instrText xml:space="preserve"> HYPERLINK \l "_Toc28606" </w:instrText>
      </w:r>
      <w:r>
        <w:rPr>
          <w:highlight w:val="none"/>
        </w:rPr>
        <w:fldChar w:fldCharType="separate"/>
      </w:r>
      <w:r>
        <w:rPr>
          <w:rFonts w:hint="eastAsia" w:ascii="楷体" w:hAnsi="楷体" w:eastAsia="楷体"/>
          <w:szCs w:val="40"/>
          <w:highlight w:val="none"/>
        </w:rPr>
        <w:t>第三章 报价单</w:t>
      </w:r>
      <w:r>
        <w:rPr>
          <w:highlight w:val="none"/>
        </w:rPr>
        <w:tab/>
      </w:r>
      <w:r>
        <w:rPr>
          <w:highlight w:val="none"/>
        </w:rPr>
        <w:fldChar w:fldCharType="begin"/>
      </w:r>
      <w:r>
        <w:rPr>
          <w:highlight w:val="none"/>
        </w:rPr>
        <w:instrText xml:space="preserve"> PAGEREF _Toc28606 \h </w:instrText>
      </w:r>
      <w:r>
        <w:rPr>
          <w:highlight w:val="none"/>
        </w:rPr>
        <w:fldChar w:fldCharType="separate"/>
      </w:r>
      <w:r>
        <w:rPr>
          <w:highlight w:val="none"/>
        </w:rPr>
        <w:t>20</w:t>
      </w:r>
      <w:r>
        <w:rPr>
          <w:highlight w:val="none"/>
        </w:rPr>
        <w:fldChar w:fldCharType="end"/>
      </w:r>
      <w:r>
        <w:rPr>
          <w:highlight w:val="none"/>
        </w:rPr>
        <w:fldChar w:fldCharType="end"/>
      </w:r>
    </w:p>
    <w:p w14:paraId="72109EBA">
      <w:pPr>
        <w:pStyle w:val="27"/>
        <w:tabs>
          <w:tab w:val="right" w:leader="dot" w:pos="8306"/>
        </w:tabs>
        <w:rPr>
          <w:highlight w:val="none"/>
        </w:rPr>
      </w:pPr>
      <w:r>
        <w:rPr>
          <w:highlight w:val="none"/>
        </w:rPr>
        <w:fldChar w:fldCharType="begin"/>
      </w:r>
      <w:r>
        <w:rPr>
          <w:highlight w:val="none"/>
        </w:rPr>
        <w:instrText xml:space="preserve"> HYPERLINK \l "_Toc14920" </w:instrText>
      </w:r>
      <w:r>
        <w:rPr>
          <w:highlight w:val="none"/>
        </w:rPr>
        <w:fldChar w:fldCharType="separate"/>
      </w:r>
      <w:r>
        <w:rPr>
          <w:rFonts w:hint="eastAsia" w:ascii="楷体" w:hAnsi="楷体" w:eastAsia="楷体"/>
          <w:highlight w:val="none"/>
        </w:rPr>
        <w:t>第四章 投标文件相关附件</w:t>
      </w:r>
      <w:r>
        <w:rPr>
          <w:highlight w:val="none"/>
        </w:rPr>
        <w:tab/>
      </w:r>
      <w:r>
        <w:rPr>
          <w:highlight w:val="none"/>
        </w:rPr>
        <w:fldChar w:fldCharType="begin"/>
      </w:r>
      <w:r>
        <w:rPr>
          <w:highlight w:val="none"/>
        </w:rPr>
        <w:instrText xml:space="preserve"> PAGEREF _Toc14920 \h </w:instrText>
      </w:r>
      <w:r>
        <w:rPr>
          <w:highlight w:val="none"/>
        </w:rPr>
        <w:fldChar w:fldCharType="separate"/>
      </w:r>
      <w:r>
        <w:rPr>
          <w:highlight w:val="none"/>
        </w:rPr>
        <w:t>21</w:t>
      </w:r>
      <w:r>
        <w:rPr>
          <w:highlight w:val="none"/>
        </w:rPr>
        <w:fldChar w:fldCharType="end"/>
      </w:r>
      <w:r>
        <w:rPr>
          <w:highlight w:val="none"/>
        </w:rPr>
        <w:fldChar w:fldCharType="end"/>
      </w:r>
    </w:p>
    <w:p w14:paraId="02A62B1A">
      <w:pPr>
        <w:pStyle w:val="32"/>
        <w:tabs>
          <w:tab w:val="right" w:leader="dot" w:pos="8306"/>
        </w:tabs>
        <w:rPr>
          <w:highlight w:val="none"/>
        </w:rPr>
      </w:pPr>
      <w:r>
        <w:rPr>
          <w:highlight w:val="none"/>
        </w:rPr>
        <w:fldChar w:fldCharType="begin"/>
      </w:r>
      <w:r>
        <w:rPr>
          <w:highlight w:val="none"/>
        </w:rPr>
        <w:instrText xml:space="preserve"> HYPERLINK \l "_Toc4648" </w:instrText>
      </w:r>
      <w:r>
        <w:rPr>
          <w:highlight w:val="none"/>
        </w:rPr>
        <w:fldChar w:fldCharType="separate"/>
      </w:r>
      <w:r>
        <w:rPr>
          <w:rFonts w:hint="eastAsia" w:ascii="楷体" w:hAnsi="楷体" w:eastAsia="楷体"/>
          <w:highlight w:val="none"/>
        </w:rPr>
        <w:t>附件一：投标承诺函</w:t>
      </w:r>
      <w:r>
        <w:rPr>
          <w:highlight w:val="none"/>
        </w:rPr>
        <w:tab/>
      </w:r>
      <w:r>
        <w:rPr>
          <w:highlight w:val="none"/>
        </w:rPr>
        <w:fldChar w:fldCharType="begin"/>
      </w:r>
      <w:r>
        <w:rPr>
          <w:highlight w:val="none"/>
        </w:rPr>
        <w:instrText xml:space="preserve"> PAGEREF _Toc4648 \h </w:instrText>
      </w:r>
      <w:r>
        <w:rPr>
          <w:highlight w:val="none"/>
        </w:rPr>
        <w:fldChar w:fldCharType="separate"/>
      </w:r>
      <w:r>
        <w:rPr>
          <w:highlight w:val="none"/>
        </w:rPr>
        <w:t>21</w:t>
      </w:r>
      <w:r>
        <w:rPr>
          <w:highlight w:val="none"/>
        </w:rPr>
        <w:fldChar w:fldCharType="end"/>
      </w:r>
      <w:r>
        <w:rPr>
          <w:highlight w:val="none"/>
        </w:rPr>
        <w:fldChar w:fldCharType="end"/>
      </w:r>
    </w:p>
    <w:p w14:paraId="3BD03CB8">
      <w:pPr>
        <w:pStyle w:val="32"/>
        <w:tabs>
          <w:tab w:val="right" w:leader="dot" w:pos="8306"/>
        </w:tabs>
        <w:rPr>
          <w:highlight w:val="none"/>
        </w:rPr>
      </w:pPr>
      <w:r>
        <w:rPr>
          <w:highlight w:val="none"/>
        </w:rPr>
        <w:fldChar w:fldCharType="begin"/>
      </w:r>
      <w:r>
        <w:rPr>
          <w:highlight w:val="none"/>
        </w:rPr>
        <w:instrText xml:space="preserve"> HYPERLINK \l "_Toc21567" </w:instrText>
      </w:r>
      <w:r>
        <w:rPr>
          <w:highlight w:val="none"/>
        </w:rPr>
        <w:fldChar w:fldCharType="separate"/>
      </w:r>
      <w:r>
        <w:rPr>
          <w:rFonts w:hint="eastAsia" w:ascii="楷体" w:hAnsi="楷体" w:eastAsia="楷体"/>
          <w:highlight w:val="none"/>
        </w:rPr>
        <w:t>附件二、投标人关联关系及围标串标认定处罚知情书</w:t>
      </w:r>
      <w:r>
        <w:rPr>
          <w:highlight w:val="none"/>
        </w:rPr>
        <w:tab/>
      </w:r>
      <w:r>
        <w:rPr>
          <w:highlight w:val="none"/>
        </w:rPr>
        <w:fldChar w:fldCharType="begin"/>
      </w:r>
      <w:r>
        <w:rPr>
          <w:highlight w:val="none"/>
        </w:rPr>
        <w:instrText xml:space="preserve"> PAGEREF _Toc21567 \h </w:instrText>
      </w:r>
      <w:r>
        <w:rPr>
          <w:highlight w:val="none"/>
        </w:rPr>
        <w:fldChar w:fldCharType="separate"/>
      </w:r>
      <w:r>
        <w:rPr>
          <w:highlight w:val="none"/>
        </w:rPr>
        <w:t>23</w:t>
      </w:r>
      <w:r>
        <w:rPr>
          <w:highlight w:val="none"/>
        </w:rPr>
        <w:fldChar w:fldCharType="end"/>
      </w:r>
      <w:r>
        <w:rPr>
          <w:highlight w:val="none"/>
        </w:rPr>
        <w:fldChar w:fldCharType="end"/>
      </w:r>
    </w:p>
    <w:p w14:paraId="3EB62222">
      <w:pPr>
        <w:pStyle w:val="32"/>
        <w:tabs>
          <w:tab w:val="right" w:leader="dot" w:pos="8306"/>
        </w:tabs>
        <w:rPr>
          <w:highlight w:val="none"/>
        </w:rPr>
      </w:pPr>
      <w:r>
        <w:rPr>
          <w:highlight w:val="none"/>
        </w:rPr>
        <w:fldChar w:fldCharType="begin"/>
      </w:r>
      <w:r>
        <w:rPr>
          <w:highlight w:val="none"/>
        </w:rPr>
        <w:instrText xml:space="preserve"> HYPERLINK \l "_Toc8266" </w:instrText>
      </w:r>
      <w:r>
        <w:rPr>
          <w:highlight w:val="none"/>
        </w:rPr>
        <w:fldChar w:fldCharType="separate"/>
      </w:r>
      <w:r>
        <w:rPr>
          <w:rFonts w:hint="eastAsia" w:ascii="楷体" w:hAnsi="楷体" w:eastAsia="楷体"/>
          <w:highlight w:val="none"/>
        </w:rPr>
        <w:t>附件三、法定代表人证明书和法定代表人授权委托书格式</w:t>
      </w:r>
      <w:r>
        <w:rPr>
          <w:highlight w:val="none"/>
        </w:rPr>
        <w:tab/>
      </w:r>
      <w:r>
        <w:rPr>
          <w:highlight w:val="none"/>
        </w:rPr>
        <w:fldChar w:fldCharType="begin"/>
      </w:r>
      <w:r>
        <w:rPr>
          <w:highlight w:val="none"/>
        </w:rPr>
        <w:instrText xml:space="preserve"> PAGEREF _Toc8266 \h </w:instrText>
      </w:r>
      <w:r>
        <w:rPr>
          <w:highlight w:val="none"/>
        </w:rPr>
        <w:fldChar w:fldCharType="separate"/>
      </w:r>
      <w:r>
        <w:rPr>
          <w:highlight w:val="none"/>
        </w:rPr>
        <w:t>25</w:t>
      </w:r>
      <w:r>
        <w:rPr>
          <w:highlight w:val="none"/>
        </w:rPr>
        <w:fldChar w:fldCharType="end"/>
      </w:r>
      <w:r>
        <w:rPr>
          <w:highlight w:val="none"/>
        </w:rPr>
        <w:fldChar w:fldCharType="end"/>
      </w:r>
    </w:p>
    <w:p w14:paraId="6C48412C">
      <w:pPr>
        <w:pStyle w:val="32"/>
        <w:tabs>
          <w:tab w:val="right" w:leader="dot" w:pos="8306"/>
        </w:tabs>
        <w:rPr>
          <w:highlight w:val="none"/>
        </w:rPr>
      </w:pPr>
      <w:r>
        <w:rPr>
          <w:highlight w:val="none"/>
        </w:rPr>
        <w:fldChar w:fldCharType="begin"/>
      </w:r>
      <w:r>
        <w:rPr>
          <w:highlight w:val="none"/>
        </w:rPr>
        <w:instrText xml:space="preserve"> HYPERLINK \l "_Toc30438" </w:instrText>
      </w:r>
      <w:r>
        <w:rPr>
          <w:highlight w:val="none"/>
        </w:rPr>
        <w:fldChar w:fldCharType="separate"/>
      </w:r>
      <w:r>
        <w:rPr>
          <w:rFonts w:hint="eastAsia" w:ascii="楷体" w:hAnsi="楷体" w:eastAsia="楷体"/>
          <w:highlight w:val="none"/>
        </w:rPr>
        <w:t>附件四：保险购买承诺</w:t>
      </w:r>
      <w:r>
        <w:rPr>
          <w:highlight w:val="none"/>
        </w:rPr>
        <w:tab/>
      </w:r>
      <w:r>
        <w:rPr>
          <w:highlight w:val="none"/>
        </w:rPr>
        <w:fldChar w:fldCharType="begin"/>
      </w:r>
      <w:r>
        <w:rPr>
          <w:highlight w:val="none"/>
        </w:rPr>
        <w:instrText xml:space="preserve"> PAGEREF _Toc30438 \h </w:instrText>
      </w:r>
      <w:r>
        <w:rPr>
          <w:highlight w:val="none"/>
        </w:rPr>
        <w:fldChar w:fldCharType="separate"/>
      </w:r>
      <w:r>
        <w:rPr>
          <w:highlight w:val="none"/>
        </w:rPr>
        <w:t>27</w:t>
      </w:r>
      <w:r>
        <w:rPr>
          <w:highlight w:val="none"/>
        </w:rPr>
        <w:fldChar w:fldCharType="end"/>
      </w:r>
      <w:r>
        <w:rPr>
          <w:highlight w:val="none"/>
        </w:rPr>
        <w:fldChar w:fldCharType="end"/>
      </w:r>
    </w:p>
    <w:p w14:paraId="2AF9387C">
      <w:pPr>
        <w:pStyle w:val="32"/>
        <w:tabs>
          <w:tab w:val="right" w:leader="dot" w:pos="8306"/>
        </w:tabs>
        <w:rPr>
          <w:highlight w:val="none"/>
        </w:rPr>
      </w:pPr>
      <w:r>
        <w:rPr>
          <w:highlight w:val="none"/>
        </w:rPr>
        <w:fldChar w:fldCharType="begin"/>
      </w:r>
      <w:r>
        <w:rPr>
          <w:highlight w:val="none"/>
        </w:rPr>
        <w:instrText xml:space="preserve"> HYPERLINK \l "_Toc11720" </w:instrText>
      </w:r>
      <w:r>
        <w:rPr>
          <w:highlight w:val="none"/>
        </w:rPr>
        <w:fldChar w:fldCharType="separate"/>
      </w:r>
      <w:r>
        <w:rPr>
          <w:rFonts w:hint="eastAsia" w:ascii="楷体" w:hAnsi="楷体" w:eastAsia="楷体"/>
          <w:highlight w:val="none"/>
        </w:rPr>
        <w:t>附件五：投标保证金抵扣承诺函</w:t>
      </w:r>
      <w:r>
        <w:rPr>
          <w:highlight w:val="none"/>
        </w:rPr>
        <w:tab/>
      </w:r>
      <w:r>
        <w:rPr>
          <w:highlight w:val="none"/>
        </w:rPr>
        <w:fldChar w:fldCharType="begin"/>
      </w:r>
      <w:r>
        <w:rPr>
          <w:highlight w:val="none"/>
        </w:rPr>
        <w:instrText xml:space="preserve"> PAGEREF _Toc11720 \h </w:instrText>
      </w:r>
      <w:r>
        <w:rPr>
          <w:highlight w:val="none"/>
        </w:rPr>
        <w:fldChar w:fldCharType="separate"/>
      </w:r>
      <w:r>
        <w:rPr>
          <w:highlight w:val="none"/>
        </w:rPr>
        <w:t>28</w:t>
      </w:r>
      <w:r>
        <w:rPr>
          <w:highlight w:val="none"/>
        </w:rPr>
        <w:fldChar w:fldCharType="end"/>
      </w:r>
      <w:r>
        <w:rPr>
          <w:highlight w:val="none"/>
        </w:rPr>
        <w:fldChar w:fldCharType="end"/>
      </w:r>
    </w:p>
    <w:p w14:paraId="35F8BE7F">
      <w:pPr>
        <w:pStyle w:val="27"/>
        <w:tabs>
          <w:tab w:val="right" w:leader="dot" w:pos="8306"/>
        </w:tabs>
        <w:rPr>
          <w:highlight w:val="none"/>
        </w:rPr>
      </w:pPr>
      <w:r>
        <w:rPr>
          <w:highlight w:val="none"/>
        </w:rPr>
        <w:fldChar w:fldCharType="begin"/>
      </w:r>
      <w:r>
        <w:rPr>
          <w:highlight w:val="none"/>
        </w:rPr>
        <w:instrText xml:space="preserve"> HYPERLINK \l "_Toc22577" </w:instrText>
      </w:r>
      <w:r>
        <w:rPr>
          <w:highlight w:val="none"/>
        </w:rPr>
        <w:fldChar w:fldCharType="separate"/>
      </w:r>
      <w:r>
        <w:rPr>
          <w:rFonts w:hint="eastAsia" w:ascii="楷体" w:hAnsi="楷体" w:eastAsia="楷体"/>
          <w:highlight w:val="none"/>
        </w:rPr>
        <w:t>第五章 响应文件模板</w:t>
      </w:r>
      <w:r>
        <w:rPr>
          <w:highlight w:val="none"/>
        </w:rPr>
        <w:tab/>
      </w:r>
      <w:r>
        <w:rPr>
          <w:highlight w:val="none"/>
        </w:rPr>
        <w:fldChar w:fldCharType="begin"/>
      </w:r>
      <w:r>
        <w:rPr>
          <w:highlight w:val="none"/>
        </w:rPr>
        <w:instrText xml:space="preserve"> PAGEREF _Toc22577 \h </w:instrText>
      </w:r>
      <w:r>
        <w:rPr>
          <w:highlight w:val="none"/>
        </w:rPr>
        <w:fldChar w:fldCharType="separate"/>
      </w:r>
      <w:r>
        <w:rPr>
          <w:highlight w:val="none"/>
        </w:rPr>
        <w:t>29</w:t>
      </w:r>
      <w:r>
        <w:rPr>
          <w:highlight w:val="none"/>
        </w:rPr>
        <w:fldChar w:fldCharType="end"/>
      </w:r>
      <w:r>
        <w:rPr>
          <w:highlight w:val="none"/>
        </w:rPr>
        <w:fldChar w:fldCharType="end"/>
      </w:r>
    </w:p>
    <w:p w14:paraId="22B0D2A0">
      <w:pPr>
        <w:pStyle w:val="32"/>
        <w:tabs>
          <w:tab w:val="right" w:leader="dot" w:pos="8306"/>
        </w:tabs>
        <w:rPr>
          <w:bCs/>
          <w:highlight w:val="none"/>
          <w:lang w:val="zh-CN"/>
        </w:rPr>
      </w:pPr>
      <w:r>
        <w:rPr>
          <w:bCs/>
          <w:highlight w:val="none"/>
          <w:lang w:val="zh-CN"/>
        </w:rPr>
        <w:fldChar w:fldCharType="end"/>
      </w:r>
    </w:p>
    <w:p w14:paraId="748CF859">
      <w:pPr>
        <w:spacing w:line="360" w:lineRule="auto"/>
        <w:rPr>
          <w:rFonts w:hint="eastAsia" w:ascii="楷体" w:hAnsi="楷体" w:eastAsia="楷体" w:cs="宋体"/>
          <w:kern w:val="10"/>
          <w:sz w:val="28"/>
          <w:szCs w:val="28"/>
          <w:highlight w:val="none"/>
        </w:rPr>
      </w:pPr>
      <w:r>
        <w:rPr>
          <w:rFonts w:ascii="楷体" w:hAnsi="楷体" w:eastAsia="楷体" w:cs="宋体"/>
          <w:kern w:val="10"/>
          <w:sz w:val="28"/>
          <w:szCs w:val="28"/>
          <w:highlight w:val="none"/>
        </w:rPr>
        <w:br w:type="page"/>
      </w:r>
    </w:p>
    <w:p w14:paraId="5F205F53">
      <w:pPr>
        <w:pStyle w:val="2"/>
        <w:spacing w:before="156" w:line="360" w:lineRule="auto"/>
        <w:rPr>
          <w:rFonts w:hint="eastAsia" w:ascii="楷体" w:hAnsi="楷体" w:eastAsia="楷体"/>
          <w:sz w:val="40"/>
          <w:highlight w:val="none"/>
        </w:rPr>
      </w:pPr>
      <w:bookmarkStart w:id="4" w:name="_Toc472260907"/>
      <w:bookmarkStart w:id="5" w:name="_Toc692"/>
      <w:bookmarkStart w:id="6" w:name="_Toc30363"/>
      <w:bookmarkStart w:id="7" w:name="_Toc10315"/>
      <w:r>
        <w:rPr>
          <w:rFonts w:hint="eastAsia" w:ascii="楷体" w:hAnsi="楷体" w:eastAsia="楷体"/>
          <w:sz w:val="40"/>
          <w:highlight w:val="none"/>
        </w:rPr>
        <w:t>第一章 招标公告</w:t>
      </w:r>
      <w:bookmarkEnd w:id="1"/>
      <w:bookmarkEnd w:id="2"/>
      <w:bookmarkEnd w:id="3"/>
      <w:bookmarkEnd w:id="4"/>
      <w:bookmarkEnd w:id="5"/>
      <w:bookmarkEnd w:id="6"/>
      <w:bookmarkEnd w:id="7"/>
    </w:p>
    <w:p w14:paraId="77F5C9B1">
      <w:pPr>
        <w:pStyle w:val="3"/>
        <w:spacing w:before="156"/>
        <w:jc w:val="left"/>
        <w:rPr>
          <w:rFonts w:hint="eastAsia" w:ascii="楷体" w:hAnsi="楷体" w:eastAsia="楷体"/>
          <w:highlight w:val="none"/>
        </w:rPr>
      </w:pPr>
      <w:bookmarkStart w:id="8" w:name="_Toc1764"/>
      <w:bookmarkStart w:id="9" w:name="_Toc2150"/>
      <w:bookmarkStart w:id="10" w:name="_Toc28337"/>
      <w:bookmarkStart w:id="11" w:name="_Toc189504637"/>
      <w:r>
        <w:rPr>
          <w:rFonts w:hint="eastAsia" w:ascii="楷体" w:hAnsi="楷体" w:eastAsia="楷体"/>
          <w:highlight w:val="none"/>
        </w:rPr>
        <w:t>一、项目概况</w:t>
      </w:r>
      <w:bookmarkEnd w:id="8"/>
      <w:bookmarkEnd w:id="9"/>
      <w:bookmarkEnd w:id="10"/>
      <w:bookmarkEnd w:id="11"/>
    </w:p>
    <w:p w14:paraId="2B4783A3">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1、项目名称：数智世界集团2026年棉纱公路运输服务项目。</w:t>
      </w:r>
    </w:p>
    <w:p w14:paraId="7191D343">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 xml:space="preserve">2、招标方式：线下招标。  </w:t>
      </w:r>
    </w:p>
    <w:p w14:paraId="0262A363">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3、项目须知：本次招标由“上海数智世界工业科技集团有限公司”组织，待招标完成后，签订合同主体按实际需求情况而定。</w:t>
      </w:r>
    </w:p>
    <w:p w14:paraId="1D22ABC3">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4、采购项目介绍：上海数智世界工业科技集团有限公司旗下，圣善/睿格/睿宸/睿泽/睿弘/睿灏/睿沣/睿禾纺织有限公司是八家国内大型棉纺企业，是国内目前规模较大的纱线生产的棉纺企业，2026年计划年产量55万吨。因公司棉纱运输需要，公司决定对2026年度公司棉纱等货物运输进行公开招标，竭诚欢迎信誉好、实力强的符合条件的潜在投标人前来报名。我司将本着“公开、公平、公正”的原则，选择优秀的物流公司与我司合作。我司运输的主要产品为袋装成品纱，棉纱运输的具体路线由四川雅安市、新疆阿拉尔市、吐鲁番市、莎车县、奎屯市运至广东佛山、江苏南通、浙江绍兴等地。</w:t>
      </w:r>
    </w:p>
    <w:p w14:paraId="5624246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4.1运输方式：公路运输。</w:t>
      </w:r>
    </w:p>
    <w:p w14:paraId="4395FFC7">
      <w:pPr>
        <w:spacing w:line="360" w:lineRule="auto"/>
        <w:rPr>
          <w:rFonts w:hint="eastAsia" w:ascii="楷体" w:hAnsi="楷体" w:eastAsia="楷体"/>
          <w:b/>
          <w:bCs/>
          <w:sz w:val="22"/>
          <w:szCs w:val="21"/>
          <w:highlight w:val="none"/>
          <w:u w:val="single"/>
        </w:rPr>
      </w:pPr>
      <w:r>
        <w:rPr>
          <w:rFonts w:hint="eastAsia" w:ascii="楷体" w:hAnsi="楷体" w:eastAsia="楷体"/>
          <w:sz w:val="22"/>
          <w:szCs w:val="21"/>
          <w:highlight w:val="none"/>
        </w:rPr>
        <w:t>4.2服务期限：</w:t>
      </w:r>
      <w:r>
        <w:rPr>
          <w:rFonts w:hint="eastAsia" w:ascii="楷体" w:hAnsi="楷体" w:eastAsia="楷体"/>
          <w:sz w:val="22"/>
          <w:szCs w:val="21"/>
          <w:highlight w:val="none"/>
          <w:lang w:eastAsia="zh-Hans"/>
        </w:rPr>
        <w:t>暂定</w:t>
      </w:r>
      <w:r>
        <w:rPr>
          <w:rFonts w:hint="eastAsia" w:ascii="楷体" w:hAnsi="楷体" w:eastAsia="楷体"/>
          <w:sz w:val="22"/>
          <w:szCs w:val="21"/>
          <w:highlight w:val="none"/>
        </w:rPr>
        <w:t>1年，</w:t>
      </w:r>
      <w:r>
        <w:rPr>
          <w:rFonts w:hint="eastAsia" w:ascii="楷体" w:hAnsi="楷体" w:eastAsia="楷体"/>
          <w:b/>
          <w:bCs/>
          <w:sz w:val="22"/>
          <w:szCs w:val="21"/>
          <w:highlight w:val="none"/>
          <w:u w:val="single"/>
        </w:rPr>
        <w:t>最终合作期限的确定</w:t>
      </w:r>
      <w:r>
        <w:rPr>
          <w:rFonts w:hint="eastAsia" w:ascii="楷体" w:hAnsi="楷体" w:eastAsia="楷体"/>
          <w:b/>
          <w:bCs/>
          <w:sz w:val="22"/>
          <w:szCs w:val="21"/>
          <w:highlight w:val="none"/>
          <w:u w:val="single"/>
          <w:lang w:eastAsia="zh-Hans"/>
        </w:rPr>
        <w:t>以中标后签署的合同</w:t>
      </w:r>
      <w:r>
        <w:rPr>
          <w:rFonts w:hint="eastAsia" w:ascii="楷体" w:hAnsi="楷体" w:eastAsia="楷体"/>
          <w:b/>
          <w:bCs/>
          <w:sz w:val="22"/>
          <w:szCs w:val="21"/>
          <w:highlight w:val="none"/>
          <w:u w:val="single"/>
        </w:rPr>
        <w:t>约定</w:t>
      </w:r>
      <w:r>
        <w:rPr>
          <w:rFonts w:hint="eastAsia" w:ascii="楷体" w:hAnsi="楷体" w:eastAsia="楷体"/>
          <w:b/>
          <w:bCs/>
          <w:sz w:val="22"/>
          <w:szCs w:val="21"/>
          <w:highlight w:val="none"/>
          <w:u w:val="single"/>
          <w:lang w:eastAsia="zh-Hans"/>
        </w:rPr>
        <w:t>为准</w:t>
      </w:r>
      <w:r>
        <w:rPr>
          <w:rFonts w:hint="eastAsia" w:ascii="楷体" w:hAnsi="楷体" w:eastAsia="楷体"/>
          <w:b/>
          <w:bCs/>
          <w:sz w:val="22"/>
          <w:szCs w:val="21"/>
          <w:highlight w:val="none"/>
          <w:u w:val="single"/>
        </w:rPr>
        <w:t>。</w:t>
      </w:r>
    </w:p>
    <w:p w14:paraId="6C824623">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4.3各工厂地址：</w:t>
      </w:r>
    </w:p>
    <w:p w14:paraId="5CC9AC8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①雅安圣善纺织科技有限公司：四川省雅安市芦山县思延镇</w:t>
      </w:r>
    </w:p>
    <w:p w14:paraId="3FED25D7">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②新疆睿格纺织有限公司：新疆维吾尔自治区阿拉尔市创新大道东1011号</w:t>
      </w:r>
    </w:p>
    <w:p w14:paraId="07D17EA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③新疆睿宸纺织有限公司：新疆维吾尔自治区阿拉尔市飞龙路东1111号</w:t>
      </w:r>
    </w:p>
    <w:p w14:paraId="0AF576F6">
      <w:pPr>
        <w:spacing w:line="360" w:lineRule="auto"/>
        <w:ind w:left="2420" w:hanging="2420" w:hangingChars="1100"/>
        <w:rPr>
          <w:rFonts w:hint="eastAsia" w:ascii="楷体" w:hAnsi="楷体" w:eastAsia="楷体"/>
          <w:sz w:val="22"/>
          <w:szCs w:val="21"/>
          <w:highlight w:val="none"/>
        </w:rPr>
      </w:pPr>
      <w:r>
        <w:rPr>
          <w:rFonts w:hint="eastAsia" w:ascii="楷体" w:hAnsi="楷体" w:eastAsia="楷体"/>
          <w:sz w:val="22"/>
          <w:szCs w:val="21"/>
          <w:highlight w:val="none"/>
        </w:rPr>
        <w:t>④新疆睿弘纺织有限公司：新疆吐鲁番市高昌区葡萄镇艾丁湖路278号</w:t>
      </w:r>
    </w:p>
    <w:p w14:paraId="05E1731E">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⑤新疆睿泽纺织有限公司：新疆维吾尔自治区吐鲁番市高昌区库木路88号</w:t>
      </w:r>
    </w:p>
    <w:p w14:paraId="3509FEC5">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⑥新疆睿灏纺织有限公司：新疆喀什地区莎车县托木吾斯塘镇友谊东路77号</w:t>
      </w:r>
    </w:p>
    <w:p w14:paraId="5B7FA03C">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⑦新疆睿沣纺织有限公司：新疆喀什地区莎车县南昌路小区南100米</w:t>
      </w:r>
    </w:p>
    <w:p w14:paraId="4A330160">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⑧新疆睿禾纺织有限公司：新疆伊犁州奎屯市喀什东路99号</w:t>
      </w:r>
    </w:p>
    <w:p w14:paraId="21C8A914">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4.4采购范围及内容：公路运输线路及临时线路如下:</w:t>
      </w:r>
    </w:p>
    <w:p w14:paraId="2A0B18A4">
      <w:pPr>
        <w:spacing w:line="360" w:lineRule="auto"/>
        <w:rPr>
          <w:rFonts w:hint="eastAsia" w:ascii="楷体" w:hAnsi="楷体" w:eastAsia="楷体"/>
          <w:sz w:val="22"/>
          <w:szCs w:val="21"/>
          <w:highlight w:val="none"/>
        </w:rPr>
      </w:pPr>
    </w:p>
    <w:p w14:paraId="06BD2426">
      <w:pPr>
        <w:spacing w:line="360" w:lineRule="auto"/>
        <w:rPr>
          <w:rFonts w:hint="eastAsia" w:ascii="楷体" w:hAnsi="楷体" w:eastAsia="楷体"/>
          <w:sz w:val="22"/>
          <w:szCs w:val="21"/>
          <w:highlight w:val="none"/>
        </w:rPr>
      </w:pPr>
    </w:p>
    <w:tbl>
      <w:tblPr>
        <w:tblStyle w:val="38"/>
        <w:tblW w:w="7926"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1040"/>
        <w:gridCol w:w="1361"/>
        <w:gridCol w:w="2340"/>
        <w:gridCol w:w="1635"/>
      </w:tblGrid>
      <w:tr w14:paraId="792F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noWrap/>
            <w:vAlign w:val="center"/>
          </w:tcPr>
          <w:p w14:paraId="21206DBE">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工厂</w:t>
            </w:r>
          </w:p>
        </w:tc>
        <w:tc>
          <w:tcPr>
            <w:tcW w:w="1040" w:type="dxa"/>
            <w:noWrap/>
            <w:vAlign w:val="center"/>
          </w:tcPr>
          <w:p w14:paraId="741EE4BE">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发货地</w:t>
            </w:r>
          </w:p>
        </w:tc>
        <w:tc>
          <w:tcPr>
            <w:tcW w:w="1361" w:type="dxa"/>
            <w:noWrap/>
            <w:vAlign w:val="center"/>
          </w:tcPr>
          <w:p w14:paraId="603A3B3E">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目的省份</w:t>
            </w:r>
          </w:p>
        </w:tc>
        <w:tc>
          <w:tcPr>
            <w:tcW w:w="2340" w:type="dxa"/>
            <w:noWrap/>
            <w:vAlign w:val="center"/>
          </w:tcPr>
          <w:p w14:paraId="34FF9ADB">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主要到货城市</w:t>
            </w:r>
          </w:p>
        </w:tc>
        <w:tc>
          <w:tcPr>
            <w:tcW w:w="1635" w:type="dxa"/>
            <w:noWrap/>
            <w:vAlign w:val="center"/>
          </w:tcPr>
          <w:p w14:paraId="4CE49B86">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运量占比</w:t>
            </w:r>
          </w:p>
        </w:tc>
      </w:tr>
      <w:tr w14:paraId="69BB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restart"/>
            <w:vAlign w:val="center"/>
          </w:tcPr>
          <w:p w14:paraId="25C218B2">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圣善</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睿格</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睿宸</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睿泽</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睿弘</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睿灏</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睿沣</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睿禾</w:t>
            </w:r>
          </w:p>
        </w:tc>
        <w:tc>
          <w:tcPr>
            <w:tcW w:w="1040" w:type="dxa"/>
            <w:vMerge w:val="restart"/>
            <w:vAlign w:val="center"/>
          </w:tcPr>
          <w:p w14:paraId="223A2986">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雅安</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阿拉尔</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吐鲁番</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喀什</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奎屯</w:t>
            </w:r>
          </w:p>
        </w:tc>
        <w:tc>
          <w:tcPr>
            <w:tcW w:w="1361" w:type="dxa"/>
            <w:noWrap/>
            <w:vAlign w:val="center"/>
          </w:tcPr>
          <w:p w14:paraId="2C57D0BF">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广东</w:t>
            </w:r>
          </w:p>
        </w:tc>
        <w:tc>
          <w:tcPr>
            <w:tcW w:w="2340" w:type="dxa"/>
            <w:noWrap/>
            <w:vAlign w:val="center"/>
          </w:tcPr>
          <w:p w14:paraId="3FF00BC6">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佛山、汕头</w:t>
            </w:r>
          </w:p>
        </w:tc>
        <w:tc>
          <w:tcPr>
            <w:tcW w:w="1635" w:type="dxa"/>
            <w:noWrap/>
            <w:vAlign w:val="center"/>
          </w:tcPr>
          <w:p w14:paraId="77008358">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33%</w:t>
            </w:r>
          </w:p>
        </w:tc>
      </w:tr>
      <w:tr w14:paraId="59F6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600360B3">
            <w:pPr>
              <w:jc w:val="center"/>
              <w:rPr>
                <w:rFonts w:hint="eastAsia" w:ascii="楷体" w:hAnsi="楷体" w:eastAsia="楷体" w:cs="楷体"/>
                <w:color w:val="000000"/>
                <w:sz w:val="22"/>
                <w:szCs w:val="22"/>
                <w:highlight w:val="none"/>
              </w:rPr>
            </w:pPr>
          </w:p>
        </w:tc>
        <w:tc>
          <w:tcPr>
            <w:tcW w:w="1040" w:type="dxa"/>
            <w:vMerge w:val="continue"/>
            <w:vAlign w:val="center"/>
          </w:tcPr>
          <w:p w14:paraId="7CA1A776">
            <w:pPr>
              <w:jc w:val="center"/>
              <w:rPr>
                <w:rFonts w:hint="eastAsia" w:ascii="楷体" w:hAnsi="楷体" w:eastAsia="楷体" w:cs="楷体"/>
                <w:color w:val="000000"/>
                <w:sz w:val="22"/>
                <w:szCs w:val="22"/>
                <w:highlight w:val="none"/>
              </w:rPr>
            </w:pPr>
          </w:p>
        </w:tc>
        <w:tc>
          <w:tcPr>
            <w:tcW w:w="1361" w:type="dxa"/>
            <w:noWrap/>
            <w:vAlign w:val="center"/>
          </w:tcPr>
          <w:p w14:paraId="60A26468">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新疆</w:t>
            </w:r>
          </w:p>
        </w:tc>
        <w:tc>
          <w:tcPr>
            <w:tcW w:w="2340" w:type="dxa"/>
            <w:noWrap/>
            <w:vAlign w:val="center"/>
          </w:tcPr>
          <w:p w14:paraId="50F2E470">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伊犁、阿克苏</w:t>
            </w:r>
          </w:p>
        </w:tc>
        <w:tc>
          <w:tcPr>
            <w:tcW w:w="1635" w:type="dxa"/>
            <w:noWrap/>
            <w:vAlign w:val="center"/>
          </w:tcPr>
          <w:p w14:paraId="113283CB">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13%</w:t>
            </w:r>
          </w:p>
        </w:tc>
      </w:tr>
      <w:tr w14:paraId="1DFE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685D7E84">
            <w:pPr>
              <w:jc w:val="center"/>
              <w:rPr>
                <w:rFonts w:hint="eastAsia" w:ascii="楷体" w:hAnsi="楷体" w:eastAsia="楷体" w:cs="楷体"/>
                <w:color w:val="000000"/>
                <w:sz w:val="22"/>
                <w:szCs w:val="22"/>
                <w:highlight w:val="none"/>
              </w:rPr>
            </w:pPr>
          </w:p>
        </w:tc>
        <w:tc>
          <w:tcPr>
            <w:tcW w:w="1040" w:type="dxa"/>
            <w:vMerge w:val="continue"/>
            <w:vAlign w:val="center"/>
          </w:tcPr>
          <w:p w14:paraId="65CB7820">
            <w:pPr>
              <w:jc w:val="center"/>
              <w:rPr>
                <w:rFonts w:hint="eastAsia" w:ascii="楷体" w:hAnsi="楷体" w:eastAsia="楷体" w:cs="楷体"/>
                <w:color w:val="000000"/>
                <w:sz w:val="22"/>
                <w:szCs w:val="22"/>
                <w:highlight w:val="none"/>
              </w:rPr>
            </w:pPr>
          </w:p>
        </w:tc>
        <w:tc>
          <w:tcPr>
            <w:tcW w:w="1361" w:type="dxa"/>
            <w:noWrap/>
            <w:vAlign w:val="center"/>
          </w:tcPr>
          <w:p w14:paraId="49CC4C3A">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浙江</w:t>
            </w:r>
          </w:p>
        </w:tc>
        <w:tc>
          <w:tcPr>
            <w:tcW w:w="2340" w:type="dxa"/>
            <w:noWrap/>
            <w:vAlign w:val="center"/>
          </w:tcPr>
          <w:p w14:paraId="3D95166D">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宁波、绍兴</w:t>
            </w:r>
          </w:p>
        </w:tc>
        <w:tc>
          <w:tcPr>
            <w:tcW w:w="1635" w:type="dxa"/>
            <w:noWrap/>
            <w:vAlign w:val="center"/>
          </w:tcPr>
          <w:p w14:paraId="1B8A26C5">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12%</w:t>
            </w:r>
          </w:p>
        </w:tc>
      </w:tr>
      <w:tr w14:paraId="4FD8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38F3198B">
            <w:pPr>
              <w:jc w:val="center"/>
              <w:rPr>
                <w:rFonts w:hint="eastAsia" w:ascii="楷体" w:hAnsi="楷体" w:eastAsia="楷体" w:cs="楷体"/>
                <w:color w:val="000000"/>
                <w:sz w:val="22"/>
                <w:szCs w:val="22"/>
                <w:highlight w:val="none"/>
              </w:rPr>
            </w:pPr>
          </w:p>
        </w:tc>
        <w:tc>
          <w:tcPr>
            <w:tcW w:w="1040" w:type="dxa"/>
            <w:vMerge w:val="continue"/>
            <w:vAlign w:val="center"/>
          </w:tcPr>
          <w:p w14:paraId="6127BCBD">
            <w:pPr>
              <w:jc w:val="center"/>
              <w:rPr>
                <w:rFonts w:hint="eastAsia" w:ascii="楷体" w:hAnsi="楷体" w:eastAsia="楷体" w:cs="楷体"/>
                <w:color w:val="000000"/>
                <w:sz w:val="22"/>
                <w:szCs w:val="22"/>
                <w:highlight w:val="none"/>
              </w:rPr>
            </w:pPr>
          </w:p>
        </w:tc>
        <w:tc>
          <w:tcPr>
            <w:tcW w:w="1361" w:type="dxa"/>
            <w:noWrap/>
            <w:vAlign w:val="center"/>
          </w:tcPr>
          <w:p w14:paraId="4C80974B">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江苏</w:t>
            </w:r>
          </w:p>
        </w:tc>
        <w:tc>
          <w:tcPr>
            <w:tcW w:w="2340" w:type="dxa"/>
            <w:noWrap/>
            <w:vAlign w:val="center"/>
          </w:tcPr>
          <w:p w14:paraId="7C390304">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南通、常州</w:t>
            </w:r>
          </w:p>
        </w:tc>
        <w:tc>
          <w:tcPr>
            <w:tcW w:w="1635" w:type="dxa"/>
            <w:noWrap/>
            <w:vAlign w:val="center"/>
          </w:tcPr>
          <w:p w14:paraId="3235AA70">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11%</w:t>
            </w:r>
          </w:p>
        </w:tc>
      </w:tr>
      <w:tr w14:paraId="6FC6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39EBF3DB">
            <w:pPr>
              <w:jc w:val="center"/>
              <w:rPr>
                <w:rFonts w:hint="eastAsia" w:ascii="楷体" w:hAnsi="楷体" w:eastAsia="楷体" w:cs="楷体"/>
                <w:color w:val="000000"/>
                <w:sz w:val="22"/>
                <w:szCs w:val="22"/>
                <w:highlight w:val="none"/>
              </w:rPr>
            </w:pPr>
          </w:p>
        </w:tc>
        <w:tc>
          <w:tcPr>
            <w:tcW w:w="1040" w:type="dxa"/>
            <w:vMerge w:val="continue"/>
            <w:vAlign w:val="center"/>
          </w:tcPr>
          <w:p w14:paraId="2BF6EE0E">
            <w:pPr>
              <w:jc w:val="center"/>
              <w:rPr>
                <w:rFonts w:hint="eastAsia" w:ascii="楷体" w:hAnsi="楷体" w:eastAsia="楷体" w:cs="楷体"/>
                <w:color w:val="000000"/>
                <w:sz w:val="22"/>
                <w:szCs w:val="22"/>
                <w:highlight w:val="none"/>
              </w:rPr>
            </w:pPr>
          </w:p>
        </w:tc>
        <w:tc>
          <w:tcPr>
            <w:tcW w:w="1361" w:type="dxa"/>
            <w:noWrap/>
            <w:vAlign w:val="center"/>
          </w:tcPr>
          <w:p w14:paraId="3B174C3A">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福建</w:t>
            </w:r>
          </w:p>
        </w:tc>
        <w:tc>
          <w:tcPr>
            <w:tcW w:w="2340" w:type="dxa"/>
            <w:noWrap/>
            <w:vAlign w:val="center"/>
          </w:tcPr>
          <w:p w14:paraId="07D42F4E">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晋江、泉州</w:t>
            </w:r>
          </w:p>
        </w:tc>
        <w:tc>
          <w:tcPr>
            <w:tcW w:w="1635" w:type="dxa"/>
            <w:noWrap/>
            <w:vAlign w:val="center"/>
          </w:tcPr>
          <w:p w14:paraId="72277BD4">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11%</w:t>
            </w:r>
          </w:p>
        </w:tc>
      </w:tr>
      <w:tr w14:paraId="10F8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2B261CF0">
            <w:pPr>
              <w:jc w:val="center"/>
              <w:rPr>
                <w:rFonts w:hint="eastAsia" w:ascii="楷体" w:hAnsi="楷体" w:eastAsia="楷体" w:cs="楷体"/>
                <w:color w:val="000000"/>
                <w:sz w:val="22"/>
                <w:szCs w:val="22"/>
                <w:highlight w:val="none"/>
              </w:rPr>
            </w:pPr>
          </w:p>
        </w:tc>
        <w:tc>
          <w:tcPr>
            <w:tcW w:w="1040" w:type="dxa"/>
            <w:vMerge w:val="continue"/>
            <w:vAlign w:val="center"/>
          </w:tcPr>
          <w:p w14:paraId="7030EB31">
            <w:pPr>
              <w:jc w:val="center"/>
              <w:rPr>
                <w:rFonts w:hint="eastAsia" w:ascii="楷体" w:hAnsi="楷体" w:eastAsia="楷体" w:cs="楷体"/>
                <w:color w:val="000000"/>
                <w:sz w:val="22"/>
                <w:szCs w:val="22"/>
                <w:highlight w:val="none"/>
              </w:rPr>
            </w:pPr>
          </w:p>
        </w:tc>
        <w:tc>
          <w:tcPr>
            <w:tcW w:w="1361" w:type="dxa"/>
            <w:noWrap/>
            <w:vAlign w:val="center"/>
          </w:tcPr>
          <w:p w14:paraId="1FBBA5FF">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山东</w:t>
            </w:r>
          </w:p>
        </w:tc>
        <w:tc>
          <w:tcPr>
            <w:tcW w:w="2340" w:type="dxa"/>
            <w:noWrap/>
            <w:vAlign w:val="center"/>
          </w:tcPr>
          <w:p w14:paraId="7CDBF064">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潍坊、枣庄</w:t>
            </w:r>
          </w:p>
        </w:tc>
        <w:tc>
          <w:tcPr>
            <w:tcW w:w="1635" w:type="dxa"/>
            <w:noWrap/>
            <w:vAlign w:val="center"/>
          </w:tcPr>
          <w:p w14:paraId="1CA2147B">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8%</w:t>
            </w:r>
          </w:p>
        </w:tc>
      </w:tr>
      <w:tr w14:paraId="227D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273CE47F">
            <w:pPr>
              <w:jc w:val="center"/>
              <w:rPr>
                <w:rFonts w:hint="eastAsia" w:ascii="楷体" w:hAnsi="楷体" w:eastAsia="楷体" w:cs="楷体"/>
                <w:color w:val="000000"/>
                <w:sz w:val="22"/>
                <w:szCs w:val="22"/>
                <w:highlight w:val="none"/>
              </w:rPr>
            </w:pPr>
          </w:p>
        </w:tc>
        <w:tc>
          <w:tcPr>
            <w:tcW w:w="1040" w:type="dxa"/>
            <w:vMerge w:val="continue"/>
            <w:vAlign w:val="center"/>
          </w:tcPr>
          <w:p w14:paraId="66169CF3">
            <w:pPr>
              <w:jc w:val="center"/>
              <w:rPr>
                <w:rFonts w:hint="eastAsia" w:ascii="楷体" w:hAnsi="楷体" w:eastAsia="楷体" w:cs="楷体"/>
                <w:color w:val="000000"/>
                <w:sz w:val="22"/>
                <w:szCs w:val="22"/>
                <w:highlight w:val="none"/>
              </w:rPr>
            </w:pPr>
          </w:p>
        </w:tc>
        <w:tc>
          <w:tcPr>
            <w:tcW w:w="1361" w:type="dxa"/>
            <w:noWrap/>
            <w:vAlign w:val="center"/>
          </w:tcPr>
          <w:p w14:paraId="0C8FF4B1">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其他</w:t>
            </w:r>
          </w:p>
        </w:tc>
        <w:tc>
          <w:tcPr>
            <w:tcW w:w="2340" w:type="dxa"/>
            <w:noWrap/>
            <w:vAlign w:val="center"/>
          </w:tcPr>
          <w:p w14:paraId="09AAD8AF">
            <w:pPr>
              <w:widowControl/>
              <w:jc w:val="center"/>
              <w:textAlignment w:val="center"/>
              <w:rPr>
                <w:rFonts w:hint="eastAsia" w:ascii="楷体" w:hAnsi="楷体" w:eastAsia="楷体" w:cs="楷体"/>
                <w:color w:val="000000"/>
                <w:sz w:val="22"/>
                <w:szCs w:val="22"/>
                <w:highlight w:val="none"/>
                <w:lang w:val="en-US" w:eastAsia="zh-CN"/>
              </w:rPr>
            </w:pPr>
            <w:r>
              <w:rPr>
                <w:rFonts w:hint="eastAsia" w:ascii="楷体" w:hAnsi="楷体" w:eastAsia="楷体" w:cs="楷体"/>
                <w:color w:val="000000"/>
                <w:kern w:val="0"/>
                <w:sz w:val="22"/>
                <w:szCs w:val="22"/>
                <w:highlight w:val="none"/>
                <w:lang w:bidi="ar"/>
              </w:rPr>
              <w:t>湖北、河北、河南</w:t>
            </w:r>
            <w:r>
              <w:rPr>
                <w:rFonts w:hint="eastAsia" w:ascii="楷体" w:hAnsi="楷体" w:eastAsia="楷体" w:cs="楷体"/>
                <w:color w:val="000000"/>
                <w:kern w:val="0"/>
                <w:sz w:val="22"/>
                <w:szCs w:val="22"/>
                <w:highlight w:val="none"/>
                <w:lang w:val="en-US" w:eastAsia="zh-CN" w:bidi="ar"/>
              </w:rPr>
              <w:t>等</w:t>
            </w:r>
          </w:p>
        </w:tc>
        <w:tc>
          <w:tcPr>
            <w:tcW w:w="1635" w:type="dxa"/>
            <w:noWrap/>
            <w:vAlign w:val="center"/>
          </w:tcPr>
          <w:p w14:paraId="7A4775C1">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11%</w:t>
            </w:r>
          </w:p>
        </w:tc>
      </w:tr>
    </w:tbl>
    <w:p w14:paraId="4286BAC6">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备注：如有新增临时线路，按照双方确认的当日单车市场运价加9%的税费价为准(</w:t>
      </w:r>
      <w:r>
        <w:rPr>
          <w:rFonts w:hint="eastAsia" w:ascii="楷体" w:hAnsi="楷体" w:eastAsia="楷体"/>
          <w:sz w:val="22"/>
          <w:szCs w:val="21"/>
          <w:highlight w:val="none"/>
          <w:lang w:eastAsia="zh-Hans"/>
        </w:rPr>
        <w:t>计算方式为：</w:t>
      </w:r>
      <w:r>
        <w:rPr>
          <w:rFonts w:hint="eastAsia" w:ascii="楷体" w:hAnsi="楷体" w:eastAsia="楷体"/>
          <w:sz w:val="22"/>
          <w:szCs w:val="21"/>
          <w:highlight w:val="none"/>
        </w:rPr>
        <w:t>线路运费（含税）=（市场调车价*1.09），乙方提供盖章版纸质报价单交由甲方确认，运价有效期以纸质盖章版报价表注明日期为准。到期后由双方再行协商确认。有效期内乙方不得以任何理由推脱不给甲方调配车辆。如有额外费用（装卸费用等）产生，乙方需要提前书面与甲方确认，经甲方确认</w:t>
      </w:r>
      <w:r>
        <w:rPr>
          <w:rFonts w:hint="eastAsia" w:ascii="楷体" w:hAnsi="楷体" w:eastAsia="楷体"/>
          <w:sz w:val="22"/>
          <w:szCs w:val="21"/>
          <w:highlight w:val="none"/>
          <w:lang w:eastAsia="zh-Hans"/>
        </w:rPr>
        <w:t>同意承担</w:t>
      </w:r>
      <w:r>
        <w:rPr>
          <w:rFonts w:hint="eastAsia" w:ascii="楷体" w:hAnsi="楷体" w:eastAsia="楷体"/>
          <w:sz w:val="22"/>
          <w:szCs w:val="21"/>
          <w:highlight w:val="none"/>
        </w:rPr>
        <w:t>后，乙方在每月5日前将上月产生额外费用（含税）清单交给甲方，额外费用含税=额外费用（装卸费）*1.09增值税点，甲方核对无误后，按照额外费用含税金额同运费一并支付给乙方。</w:t>
      </w:r>
    </w:p>
    <w:p w14:paraId="45B819F1">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w:t>
      </w:r>
      <w:r>
        <w:rPr>
          <w:rFonts w:ascii="楷体" w:hAnsi="楷体" w:eastAsia="楷体"/>
          <w:sz w:val="22"/>
          <w:szCs w:val="21"/>
          <w:highlight w:val="none"/>
        </w:rPr>
        <w:t>.</w:t>
      </w:r>
      <w:r>
        <w:rPr>
          <w:rFonts w:hint="eastAsia" w:ascii="楷体" w:hAnsi="楷体" w:eastAsia="楷体"/>
          <w:sz w:val="22"/>
          <w:szCs w:val="21"/>
          <w:highlight w:val="none"/>
        </w:rPr>
        <w:t>5项目要求：乙方需要开具9%增值税发票，乙方需具备承接棉纱等货品的公路运输资质，具有较强现场调度及运作管理能力，可确保按时完成下达的发运量；中标单位接到甲方运输计划后，报价表中体现的线路要保证车辆在要求疆外发运时间48小时内到厂，疆内线路24小时到厂，否则按照1000元/天/车</w:t>
      </w:r>
      <w:r>
        <w:rPr>
          <w:rFonts w:ascii="楷体" w:hAnsi="楷体" w:eastAsia="楷体"/>
          <w:sz w:val="22"/>
          <w:szCs w:val="21"/>
          <w:highlight w:val="none"/>
        </w:rPr>
        <w:t>支付违约金</w:t>
      </w:r>
      <w:r>
        <w:rPr>
          <w:rFonts w:hint="eastAsia" w:ascii="楷体" w:hAnsi="楷体" w:eastAsia="楷体"/>
          <w:sz w:val="22"/>
          <w:szCs w:val="21"/>
          <w:highlight w:val="none"/>
        </w:rPr>
        <w:t>。中标单位要严格把控车辆在途时间，按照要求时间到货。例：两广及福建等华南地区汽车运输要求自发运之日起7天内到货，江浙沪地区、四川地区及山东等华北地区要求6天内到货，如有特殊情况需第一时间向甲方报备，</w:t>
      </w:r>
      <w:r>
        <w:rPr>
          <w:rFonts w:hint="eastAsia" w:ascii="楷体" w:hAnsi="楷体" w:eastAsia="楷体"/>
          <w:sz w:val="22"/>
          <w:szCs w:val="21"/>
          <w:highlight w:val="none"/>
          <w:lang w:eastAsia="zh-Hans"/>
        </w:rPr>
        <w:t>并按照甲方要求进行</w:t>
      </w:r>
      <w:r>
        <w:rPr>
          <w:rFonts w:hint="eastAsia" w:ascii="楷体" w:hAnsi="楷体" w:eastAsia="楷体"/>
          <w:sz w:val="22"/>
          <w:szCs w:val="21"/>
          <w:highlight w:val="none"/>
        </w:rPr>
        <w:t>补救</w:t>
      </w:r>
      <w:r>
        <w:rPr>
          <w:rFonts w:hint="eastAsia" w:ascii="楷体" w:hAnsi="楷体" w:eastAsia="楷体"/>
          <w:sz w:val="22"/>
          <w:szCs w:val="21"/>
          <w:highlight w:val="none"/>
          <w:lang w:eastAsia="zh-Hans"/>
        </w:rPr>
        <w:t>处置，</w:t>
      </w:r>
      <w:r>
        <w:rPr>
          <w:rFonts w:hint="eastAsia" w:ascii="楷体" w:hAnsi="楷体" w:eastAsia="楷体"/>
          <w:sz w:val="22"/>
          <w:szCs w:val="21"/>
          <w:highlight w:val="none"/>
        </w:rPr>
        <w:t>如未报备</w:t>
      </w:r>
      <w:r>
        <w:rPr>
          <w:rFonts w:hint="eastAsia" w:ascii="楷体" w:hAnsi="楷体" w:eastAsia="楷体"/>
          <w:sz w:val="22"/>
          <w:szCs w:val="21"/>
          <w:highlight w:val="none"/>
          <w:lang w:eastAsia="zh-Hans"/>
        </w:rPr>
        <w:t>或未按甲方要求</w:t>
      </w:r>
      <w:r>
        <w:rPr>
          <w:rFonts w:hint="eastAsia" w:ascii="楷体" w:hAnsi="楷体" w:eastAsia="楷体"/>
          <w:sz w:val="22"/>
          <w:szCs w:val="21"/>
          <w:highlight w:val="none"/>
        </w:rPr>
        <w:t>采取补救措施且延误到货的，按照1000元/天/车</w:t>
      </w:r>
      <w:r>
        <w:rPr>
          <w:rFonts w:ascii="楷体" w:hAnsi="楷体" w:eastAsia="楷体"/>
          <w:sz w:val="22"/>
          <w:szCs w:val="21"/>
          <w:highlight w:val="none"/>
        </w:rPr>
        <w:t>支付违约金</w:t>
      </w:r>
      <w:r>
        <w:rPr>
          <w:rFonts w:hint="eastAsia" w:ascii="楷体" w:hAnsi="楷体" w:eastAsia="楷体"/>
          <w:sz w:val="22"/>
          <w:szCs w:val="21"/>
          <w:highlight w:val="none"/>
        </w:rPr>
        <w:t xml:space="preserve"> 。如运输过程中产生货损，中标单位需按照规格品类，以当时的销售价格进行赔付</w:t>
      </w:r>
      <w:r>
        <w:rPr>
          <w:rFonts w:hint="eastAsia" w:ascii="楷体" w:hAnsi="楷体" w:eastAsia="楷体"/>
          <w:sz w:val="22"/>
          <w:szCs w:val="21"/>
          <w:highlight w:val="none"/>
          <w:lang w:eastAsia="zh-Hans"/>
        </w:rPr>
        <w:t>，</w:t>
      </w:r>
      <w:r>
        <w:rPr>
          <w:rFonts w:hint="eastAsia" w:ascii="楷体" w:hAnsi="楷体" w:eastAsia="楷体"/>
          <w:sz w:val="22"/>
          <w:szCs w:val="21"/>
          <w:highlight w:val="none"/>
        </w:rPr>
        <w:t>甲方</w:t>
      </w:r>
      <w:r>
        <w:rPr>
          <w:rFonts w:hint="eastAsia" w:ascii="楷体" w:hAnsi="楷体" w:eastAsia="楷体"/>
          <w:sz w:val="22"/>
          <w:szCs w:val="21"/>
          <w:highlight w:val="none"/>
          <w:lang w:eastAsia="zh-Hans"/>
        </w:rPr>
        <w:t>有权直接</w:t>
      </w:r>
      <w:r>
        <w:rPr>
          <w:rFonts w:hint="eastAsia" w:ascii="楷体" w:hAnsi="楷体" w:eastAsia="楷体"/>
          <w:sz w:val="22"/>
          <w:szCs w:val="21"/>
          <w:highlight w:val="none"/>
        </w:rPr>
        <w:t xml:space="preserve">在当月运费中扣除相应金额以作赔偿。 </w:t>
      </w:r>
    </w:p>
    <w:p w14:paraId="42C80E7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4.6时效要求：</w:t>
      </w:r>
    </w:p>
    <w:p w14:paraId="0FE0A662">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到车：疆内24小时、疆外48小时必须到车；</w:t>
      </w:r>
    </w:p>
    <w:p w14:paraId="385BB054">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在途：500公里内24小时，1000公里内48小时，每增加800公里增加24小时；</w:t>
      </w:r>
    </w:p>
    <w:p w14:paraId="30885F3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w:t>
      </w:r>
      <w:r>
        <w:rPr>
          <w:rFonts w:ascii="楷体" w:hAnsi="楷体" w:eastAsia="楷体"/>
          <w:sz w:val="22"/>
          <w:szCs w:val="21"/>
          <w:highlight w:val="none"/>
        </w:rPr>
        <w:t>.</w:t>
      </w:r>
      <w:r>
        <w:rPr>
          <w:rFonts w:hint="eastAsia" w:ascii="楷体" w:hAnsi="楷体" w:eastAsia="楷体"/>
          <w:sz w:val="22"/>
          <w:szCs w:val="21"/>
          <w:highlight w:val="none"/>
        </w:rPr>
        <w:t>7采购项目规模：</w:t>
      </w:r>
      <w:r>
        <w:rPr>
          <w:rFonts w:hint="eastAsia" w:ascii="楷体" w:hAnsi="楷体" w:eastAsia="楷体"/>
          <w:sz w:val="22"/>
          <w:szCs w:val="21"/>
          <w:highlight w:val="none"/>
          <w:lang w:eastAsia="zh-Hans"/>
        </w:rPr>
        <w:t>约</w:t>
      </w:r>
      <w:r>
        <w:rPr>
          <w:rFonts w:hint="eastAsia" w:ascii="楷体" w:hAnsi="楷体" w:eastAsia="楷体"/>
          <w:sz w:val="22"/>
          <w:szCs w:val="21"/>
          <w:highlight w:val="none"/>
        </w:rPr>
        <w:t>1.2亿元</w:t>
      </w:r>
    </w:p>
    <w:p w14:paraId="7ABA36A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4.8车辆要求：</w:t>
      </w:r>
    </w:p>
    <w:p w14:paraId="54D02EF6">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①17.5米平板车，车辆均办理有效行驶证、道路运输证，完成年检、交强险及足额商业险（三者险不低于[100]万），车辆车架、平板无破损、无尖锐凸起、无锈蚀毛刺（防止勾丝棉纱包装），平板平整无凹陷（避免挤压棉纱）；</w:t>
      </w:r>
    </w:p>
    <w:p w14:paraId="51A6827C">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②所有17.5米平板车均配备双定位系统（GPS +北斗），定位精度≤10米，可实时追踪车辆位置、车速、行驶轨迹，数据支持对接招标方物流管理系统，且定位设备24小时在线；</w:t>
      </w:r>
    </w:p>
    <w:p w14:paraId="7BE8B732">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③需标配棉纱运输专属防护物资：加厚防水防雨篷布（整车厢全覆盖，无破损漏雨）、双层防潮苫布、高弹力紧固绑带、防滑橡胶垫、货物隔离挡板、防撞缓冲垫，且防护物资均为合格新品并定期更换。</w:t>
      </w:r>
    </w:p>
    <w:p w14:paraId="29C8E570">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④每辆 17.5 米平板车标配 2名驾驶员，轮流驾驶，禁止单人长途连续驾驶（符合国家道路运输疲劳驾驶管理规定）。</w:t>
      </w:r>
    </w:p>
    <w:p w14:paraId="1B16BF4C">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4.9招标标段：本次招标分为8个标段，具体如下：</w:t>
      </w:r>
    </w:p>
    <w:p w14:paraId="52B596A2">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①雅安圣善纺织科技有限公司-棉纱汽运运输</w:t>
      </w:r>
    </w:p>
    <w:p w14:paraId="1B609E65">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②新疆睿格纺织有限公司-棉纱汽运运输</w:t>
      </w:r>
    </w:p>
    <w:p w14:paraId="64A93E7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③新疆睿宸纺织有限公司-棉纱汽运运输</w:t>
      </w:r>
    </w:p>
    <w:p w14:paraId="4BCF2B49">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④新疆睿弘纺织有限公司-棉纱汽运运输</w:t>
      </w:r>
    </w:p>
    <w:p w14:paraId="65BC5C3E">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⑤新疆睿泽纺织有限公司-棉纱汽运运输</w:t>
      </w:r>
    </w:p>
    <w:p w14:paraId="062BB6B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⑥新疆睿灏纺织有限公司-棉纱汽运运输</w:t>
      </w:r>
    </w:p>
    <w:p w14:paraId="560DCF3E">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⑦新疆睿沣纺织有限公司-棉纱汽运运输</w:t>
      </w:r>
    </w:p>
    <w:p w14:paraId="6AD456E9">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⑧新疆睿禾纺织有限公司-棉纱汽运运输</w:t>
      </w:r>
    </w:p>
    <w:p w14:paraId="6F171D3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 xml:space="preserve">各线路运量详见报价表。      </w:t>
      </w:r>
    </w:p>
    <w:p w14:paraId="64C9528C">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4.10运输产品：袋装成品纱，单袋25KG，12个纱球，单吨40件成托，单件长*宽*高：113cm*77cm*14cm 如图：</w:t>
      </w:r>
    </w:p>
    <w:p w14:paraId="1A70B747">
      <w:pPr>
        <w:spacing w:line="360" w:lineRule="auto"/>
        <w:rPr>
          <w:rFonts w:hint="eastAsia" w:ascii="楷体" w:hAnsi="楷体" w:eastAsia="楷体"/>
          <w:sz w:val="22"/>
          <w:szCs w:val="21"/>
          <w:highlight w:val="none"/>
        </w:rPr>
      </w:pPr>
      <w:r>
        <w:rPr>
          <w:highlight w:val="none"/>
        </w:rPr>
        <w:drawing>
          <wp:inline distT="0" distB="0" distL="0" distR="0">
            <wp:extent cx="4703445" cy="1585595"/>
            <wp:effectExtent l="0" t="0" r="8255" b="1905"/>
            <wp:docPr id="198017352" name="图片 1" descr="图片包含 服装, 用品, 床, 装饰&#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17352" name="图片 1" descr="图片包含 服装, 用品, 床, 装饰&#10;&#10;AI 生成的内容可能不正确。"/>
                    <pic:cNvPicPr>
                      <a:picLocks noChangeAspect="1"/>
                    </pic:cNvPicPr>
                  </pic:nvPicPr>
                  <pic:blipFill>
                    <a:blip r:embed="rId5"/>
                    <a:stretch>
                      <a:fillRect/>
                    </a:stretch>
                  </pic:blipFill>
                  <pic:spPr>
                    <a:xfrm>
                      <a:off x="0" y="0"/>
                      <a:ext cx="4703445" cy="1585595"/>
                    </a:xfrm>
                    <a:prstGeom prst="rect">
                      <a:avLst/>
                    </a:prstGeom>
                  </pic:spPr>
                </pic:pic>
              </a:graphicData>
            </a:graphic>
          </wp:inline>
        </w:drawing>
      </w:r>
      <w:r>
        <w:rPr>
          <w:rFonts w:hint="eastAsia" w:ascii="楷体" w:hAnsi="楷体" w:eastAsia="楷体"/>
          <w:sz w:val="22"/>
          <w:szCs w:val="21"/>
          <w:highlight w:val="none"/>
        </w:rPr>
        <w:t xml:space="preserve">      </w:t>
      </w:r>
    </w:p>
    <w:p w14:paraId="033006BC">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4.11 买赔要求：以件为单位，单个纱球受损整件买赔，受损超过（含）40件整车拒收。湿损、发霉、变色等，基于影响情况，严重者整车拒收。</w:t>
      </w:r>
    </w:p>
    <w:p w14:paraId="36E8C797">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4.12 结算周期：见票60天；</w:t>
      </w:r>
    </w:p>
    <w:p w14:paraId="7133E047">
      <w:pPr>
        <w:pStyle w:val="3"/>
        <w:spacing w:before="156"/>
        <w:jc w:val="left"/>
        <w:rPr>
          <w:rFonts w:hint="eastAsia" w:ascii="楷体" w:hAnsi="楷体" w:eastAsia="楷体"/>
          <w:highlight w:val="none"/>
        </w:rPr>
      </w:pPr>
      <w:bookmarkStart w:id="12" w:name="_Toc286185558"/>
      <w:bookmarkStart w:id="13" w:name="_Toc1305"/>
      <w:bookmarkStart w:id="14" w:name="_Toc4563"/>
      <w:bookmarkStart w:id="15" w:name="_Toc26449"/>
      <w:r>
        <w:rPr>
          <w:rFonts w:hint="eastAsia" w:ascii="楷体" w:hAnsi="楷体" w:eastAsia="楷体"/>
          <w:highlight w:val="none"/>
        </w:rPr>
        <w:t>二、投标人资格要求</w:t>
      </w:r>
      <w:bookmarkEnd w:id="12"/>
      <w:r>
        <w:rPr>
          <w:rFonts w:hint="eastAsia" w:ascii="楷体" w:hAnsi="楷体" w:eastAsia="楷体"/>
          <w:highlight w:val="none"/>
        </w:rPr>
        <w:t>（入围要求）</w:t>
      </w:r>
      <w:bookmarkEnd w:id="13"/>
      <w:bookmarkEnd w:id="14"/>
      <w:bookmarkEnd w:id="15"/>
    </w:p>
    <w:p w14:paraId="6E2FFA8D">
      <w:pPr>
        <w:pStyle w:val="140"/>
        <w:numPr>
          <w:ilvl w:val="0"/>
          <w:numId w:val="2"/>
        </w:numPr>
        <w:tabs>
          <w:tab w:val="left" w:pos="360"/>
        </w:tabs>
        <w:autoSpaceDE w:val="0"/>
        <w:autoSpaceDN w:val="0"/>
        <w:adjustRightInd w:val="0"/>
        <w:spacing w:line="360" w:lineRule="auto"/>
        <w:ind w:firstLineChars="0"/>
        <w:rPr>
          <w:rFonts w:hint="eastAsia" w:ascii="楷体" w:hAnsi="楷体" w:eastAsia="楷体" w:cs="宋体"/>
          <w:b/>
          <w:bCs/>
          <w:color w:val="000000"/>
          <w:sz w:val="24"/>
          <w:szCs w:val="24"/>
          <w:highlight w:val="none"/>
        </w:rPr>
      </w:pPr>
      <w:r>
        <w:rPr>
          <w:rFonts w:hint="eastAsia" w:ascii="楷体" w:hAnsi="楷体" w:eastAsia="楷体" w:cs="宋体"/>
          <w:b/>
          <w:bCs/>
          <w:color w:val="000000"/>
          <w:sz w:val="24"/>
          <w:szCs w:val="24"/>
          <w:highlight w:val="none"/>
        </w:rPr>
        <w:t>符合性检查文件（资质要求）</w:t>
      </w:r>
    </w:p>
    <w:p w14:paraId="41ABEFAE">
      <w:pPr>
        <w:pStyle w:val="140"/>
        <w:numPr>
          <w:ilvl w:val="0"/>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资质：</w:t>
      </w:r>
    </w:p>
    <w:p w14:paraId="7C16B4CF">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投标方需提供企业法人营业执照（注册资本500万元以上（含500万元），提供营业执照扫描件并加盖公章）【若营业执照上未显示注册资金金额，须提供关于注册资金金额的相关证明文件扫描件并加盖公章】；</w:t>
      </w:r>
    </w:p>
    <w:p w14:paraId="0E2357CC">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近三年</w:t>
      </w:r>
      <w:r>
        <w:rPr>
          <w:rFonts w:hint="eastAsia" w:ascii="楷体" w:hAnsi="楷体" w:eastAsia="楷体" w:cs="宋体"/>
          <w:color w:val="000000"/>
          <w:sz w:val="24"/>
          <w:szCs w:val="24"/>
          <w:highlight w:val="none"/>
          <w:lang w:eastAsia="zh-Hans"/>
        </w:rPr>
        <w:t>合同金额</w:t>
      </w:r>
      <w:r>
        <w:rPr>
          <w:rFonts w:hint="eastAsia" w:ascii="楷体" w:hAnsi="楷体" w:eastAsia="楷体" w:cs="宋体"/>
          <w:color w:val="000000"/>
          <w:sz w:val="24"/>
          <w:szCs w:val="24"/>
          <w:highlight w:val="none"/>
        </w:rPr>
        <w:t>超过500万元的运输类合同三份（含发票）</w:t>
      </w:r>
      <w:r>
        <w:rPr>
          <w:rFonts w:hint="eastAsia" w:ascii="楷体" w:hAnsi="楷体" w:eastAsia="楷体" w:cs="宋体"/>
          <w:color w:val="000000"/>
          <w:sz w:val="24"/>
          <w:szCs w:val="24"/>
          <w:highlight w:val="none"/>
          <w:lang w:eastAsia="zh-Hans"/>
        </w:rPr>
        <w:t>，复印件并加盖公章。</w:t>
      </w:r>
    </w:p>
    <w:p w14:paraId="7CEBE47A">
      <w:pPr>
        <w:numPr>
          <w:ilvl w:val="0"/>
          <w:numId w:val="3"/>
        </w:numPr>
        <w:tabs>
          <w:tab w:val="left" w:pos="360"/>
        </w:tabs>
        <w:autoSpaceDE w:val="0"/>
        <w:autoSpaceDN w:val="0"/>
        <w:adjustRightInd w:val="0"/>
        <w:spacing w:line="360" w:lineRule="auto"/>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资质证书：</w:t>
      </w:r>
    </w:p>
    <w:p w14:paraId="00A92571">
      <w:pPr>
        <w:pStyle w:val="140"/>
        <w:tabs>
          <w:tab w:val="left" w:pos="360"/>
        </w:tabs>
        <w:autoSpaceDE w:val="0"/>
        <w:autoSpaceDN w:val="0"/>
        <w:adjustRightInd w:val="0"/>
        <w:spacing w:line="360" w:lineRule="auto"/>
        <w:ind w:left="420" w:firstLine="0"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如：</w:t>
      </w:r>
    </w:p>
    <w:p w14:paraId="740E231C">
      <w:pPr>
        <w:pStyle w:val="140"/>
        <w:tabs>
          <w:tab w:val="left" w:pos="360"/>
        </w:tabs>
        <w:autoSpaceDE w:val="0"/>
        <w:autoSpaceDN w:val="0"/>
        <w:adjustRightInd w:val="0"/>
        <w:spacing w:line="360" w:lineRule="auto"/>
        <w:ind w:left="420" w:firstLine="0"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①提供运输管理部门核发的有效期内的道路运输经营许可证（提供扫描件并加盖公章）；</w:t>
      </w:r>
    </w:p>
    <w:p w14:paraId="5D65D8D1">
      <w:pPr>
        <w:numPr>
          <w:ilvl w:val="0"/>
          <w:numId w:val="3"/>
        </w:numPr>
        <w:tabs>
          <w:tab w:val="left" w:pos="360"/>
        </w:tabs>
        <w:autoSpaceDE w:val="0"/>
        <w:autoSpaceDN w:val="0"/>
        <w:adjustRightInd w:val="0"/>
        <w:spacing w:line="360" w:lineRule="auto"/>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信誉要求：</w:t>
      </w:r>
    </w:p>
    <w:p w14:paraId="273BA1AB">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未被工商行政管理机关在“国家企业信用信息公示系统”网站（www.gsxt.gov.cn）中列入严重违法失信企业名单（系统后台自动检测无需上传附件）；</w:t>
      </w:r>
    </w:p>
    <w:p w14:paraId="35B5EB7F">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未被最高人民法院在“信用中国”网站（www.creditchina.gov.cn）或各级信用信息共享平台中列入失信被执行人名单（系统后台自动检测无需上传附件）；</w:t>
      </w:r>
    </w:p>
    <w:p w14:paraId="1F1840D4">
      <w:pPr>
        <w:numPr>
          <w:ilvl w:val="0"/>
          <w:numId w:val="3"/>
        </w:numPr>
        <w:tabs>
          <w:tab w:val="left" w:pos="360"/>
        </w:tabs>
        <w:autoSpaceDE w:val="0"/>
        <w:autoSpaceDN w:val="0"/>
        <w:adjustRightInd w:val="0"/>
        <w:spacing w:line="360" w:lineRule="auto"/>
        <w:rPr>
          <w:rFonts w:hint="eastAsia" w:ascii="楷体" w:hAnsi="楷体" w:eastAsia="楷体" w:cs="宋体"/>
          <w:color w:val="000000"/>
          <w:sz w:val="24"/>
          <w:szCs w:val="24"/>
          <w:highlight w:val="none"/>
        </w:rPr>
      </w:pPr>
      <w:r>
        <w:rPr>
          <w:rFonts w:hint="eastAsia" w:ascii="楷体" w:hAnsi="楷体" w:eastAsia="楷体" w:cs="宋体"/>
          <w:b/>
          <w:bCs/>
          <w:color w:val="000000"/>
          <w:sz w:val="24"/>
          <w:szCs w:val="24"/>
          <w:highlight w:val="none"/>
        </w:rPr>
        <w:t>投标方之间存在以下情形的，禁止参与同一标段或者未划分标段的同一采购项目：</w:t>
      </w:r>
      <w:r>
        <w:rPr>
          <w:rFonts w:hint="eastAsia" w:ascii="楷体" w:hAnsi="楷体" w:eastAsia="楷体" w:cs="宋体"/>
          <w:color w:val="000000"/>
          <w:sz w:val="24"/>
          <w:szCs w:val="24"/>
          <w:highlight w:val="none"/>
        </w:rPr>
        <w:t>①不同供应商的单位负责人或法定代表人为同一人的，②不同供应商之间存在控股、管理关系的，③不同供应商的股东中存在相同主体的-除非供应商提供充足证据证明该情形不会影响到采购公正性。</w:t>
      </w:r>
    </w:p>
    <w:p w14:paraId="007BC8C1">
      <w:pPr>
        <w:pStyle w:val="130"/>
        <w:numPr>
          <w:ilvl w:val="0"/>
          <w:numId w:val="4"/>
        </w:numPr>
        <w:spacing w:line="360" w:lineRule="auto"/>
        <w:ind w:firstLineChars="0"/>
        <w:rPr>
          <w:rFonts w:hint="eastAsia" w:ascii="楷体" w:hAnsi="楷体" w:eastAsia="楷体"/>
          <w:b/>
          <w:sz w:val="24"/>
          <w:szCs w:val="24"/>
          <w:highlight w:val="none"/>
        </w:rPr>
      </w:pPr>
      <w:r>
        <w:rPr>
          <w:rFonts w:hint="eastAsia" w:ascii="楷体" w:hAnsi="楷体" w:eastAsia="楷体"/>
          <w:b/>
          <w:sz w:val="24"/>
          <w:szCs w:val="24"/>
          <w:highlight w:val="none"/>
        </w:rPr>
        <w:t>详细性评审要求（技术要求）</w:t>
      </w:r>
    </w:p>
    <w:p w14:paraId="27D14F62">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rPr>
        <w:t>投标方需签署投标承诺函（加盖公章，第四章附件一）；</w:t>
      </w:r>
    </w:p>
    <w:p w14:paraId="23DF3015">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rPr>
        <w:t>投标方需签署投标人关联关系及围标串标认定处罚知情书（加盖公章，第四章附件二）；</w:t>
      </w:r>
    </w:p>
    <w:p w14:paraId="44444D90">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olor w:val="000000"/>
          <w:sz w:val="24"/>
          <w:szCs w:val="24"/>
          <w:highlight w:val="none"/>
        </w:rPr>
        <w:t>法定代表人证明或授权委托书</w:t>
      </w:r>
      <w:r>
        <w:rPr>
          <w:rFonts w:hint="eastAsia" w:ascii="楷体" w:hAnsi="楷体" w:eastAsia="楷体"/>
          <w:color w:val="000000"/>
          <w:sz w:val="24"/>
          <w:szCs w:val="24"/>
          <w:highlight w:val="none"/>
          <w:lang w:eastAsia="zh-Hans"/>
        </w:rPr>
        <w:t>，</w:t>
      </w:r>
      <w:r>
        <w:rPr>
          <w:rFonts w:hint="eastAsia" w:ascii="楷体" w:hAnsi="楷体" w:eastAsia="楷体"/>
          <w:color w:val="000000"/>
          <w:sz w:val="24"/>
          <w:szCs w:val="24"/>
          <w:highlight w:val="none"/>
        </w:rPr>
        <w:t>法定代表人身份证扫描件（盖公章，第四章附件三），如有委托代理人则</w:t>
      </w:r>
      <w:r>
        <w:rPr>
          <w:rFonts w:hint="eastAsia" w:ascii="楷体" w:hAnsi="楷体" w:eastAsia="楷体"/>
          <w:color w:val="000000"/>
          <w:sz w:val="24"/>
          <w:szCs w:val="24"/>
          <w:highlight w:val="none"/>
          <w:lang w:eastAsia="zh-Hans"/>
        </w:rPr>
        <w:t>还须</w:t>
      </w:r>
      <w:r>
        <w:rPr>
          <w:rFonts w:hint="eastAsia" w:ascii="楷体" w:hAnsi="楷体" w:eastAsia="楷体"/>
          <w:color w:val="000000"/>
          <w:sz w:val="24"/>
          <w:szCs w:val="24"/>
          <w:highlight w:val="none"/>
        </w:rPr>
        <w:t>提供</w:t>
      </w:r>
      <w:r>
        <w:rPr>
          <w:rFonts w:hint="eastAsia" w:ascii="楷体" w:hAnsi="楷体" w:eastAsia="楷体"/>
          <w:color w:val="000000"/>
          <w:sz w:val="24"/>
          <w:szCs w:val="24"/>
          <w:highlight w:val="none"/>
          <w:lang w:eastAsia="zh-Hans"/>
        </w:rPr>
        <w:t>委托代理人的</w:t>
      </w:r>
      <w:r>
        <w:rPr>
          <w:rFonts w:hint="eastAsia" w:ascii="楷体" w:hAnsi="楷体" w:eastAsia="楷体"/>
          <w:color w:val="000000"/>
          <w:sz w:val="24"/>
          <w:szCs w:val="24"/>
          <w:highlight w:val="none"/>
        </w:rPr>
        <w:t>身份证扫描件及委托代理人授权委托书（盖公章，第四章附件三）；</w:t>
      </w:r>
    </w:p>
    <w:p w14:paraId="0B606ACA">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olor w:val="000000"/>
          <w:sz w:val="24"/>
          <w:szCs w:val="24"/>
          <w:highlight w:val="none"/>
        </w:rPr>
        <w:t>公司基本情况：《基本情况表》盖公章；</w:t>
      </w:r>
    </w:p>
    <w:p w14:paraId="0CED7E89">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olor w:val="000000"/>
          <w:sz w:val="24"/>
          <w:szCs w:val="24"/>
          <w:highlight w:val="none"/>
        </w:rPr>
        <w:t>财务状况证明：近1年财务状况资料（盖公章），包括资产负债表、现金流量表、利润表和财务情况说明书等；</w:t>
      </w:r>
    </w:p>
    <w:p w14:paraId="0E1BF543">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olor w:val="000000"/>
          <w:sz w:val="24"/>
          <w:szCs w:val="24"/>
          <w:highlight w:val="none"/>
        </w:rPr>
        <w:t>同类业务证明：投标方需提供一年或一年以上相关行业经验（投标方需提供历史合同签章的原件扫描件，</w:t>
      </w:r>
      <w:r>
        <w:rPr>
          <w:rFonts w:hint="eastAsia" w:ascii="楷体" w:hAnsi="楷体" w:eastAsia="楷体"/>
          <w:color w:val="000000"/>
          <w:sz w:val="24"/>
          <w:szCs w:val="24"/>
          <w:highlight w:val="none"/>
          <w:lang w:eastAsia="zh-Hans"/>
        </w:rPr>
        <w:t>须</w:t>
      </w:r>
      <w:r>
        <w:rPr>
          <w:rFonts w:hint="eastAsia" w:ascii="楷体" w:hAnsi="楷体" w:eastAsia="楷体"/>
          <w:color w:val="000000"/>
          <w:sz w:val="24"/>
          <w:szCs w:val="24"/>
          <w:highlight w:val="none"/>
        </w:rPr>
        <w:t>显示合同起止日及双方签章）；</w:t>
      </w:r>
    </w:p>
    <w:p w14:paraId="619CB440">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s="宋体"/>
          <w:color w:val="000000"/>
          <w:sz w:val="24"/>
          <w:szCs w:val="24"/>
          <w:highlight w:val="none"/>
        </w:rPr>
        <w:t>运作方案：须体现包括不限于运作组织架构及职责分工、运作要点及流程、应急预案等（盖公章）；</w:t>
      </w:r>
    </w:p>
    <w:p w14:paraId="53BBDBD5">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投标方应提供保险购买服务承诺</w:t>
      </w:r>
      <w:r>
        <w:rPr>
          <w:rFonts w:hint="eastAsia" w:ascii="楷体" w:hAnsi="楷体" w:eastAsia="楷体"/>
          <w:color w:val="000000"/>
          <w:sz w:val="24"/>
          <w:szCs w:val="24"/>
          <w:highlight w:val="none"/>
        </w:rPr>
        <w:t>（盖公章，第四章附件四）及承运人责任险（公路运输服务需提供承运人责任险，复印件需加盖公章或原件扫描件）；</w:t>
      </w:r>
    </w:p>
    <w:p w14:paraId="68ED5963">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sz w:val="24"/>
          <w:szCs w:val="24"/>
          <w:highlight w:val="none"/>
        </w:rPr>
        <w:t>报价表：含税报价（盖公章）</w:t>
      </w:r>
    </w:p>
    <w:p w14:paraId="3874C60A">
      <w:pPr>
        <w:pStyle w:val="140"/>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b/>
          <w:bCs/>
          <w:color w:val="000000"/>
          <w:sz w:val="24"/>
          <w:szCs w:val="24"/>
          <w:highlight w:val="none"/>
        </w:rPr>
      </w:pPr>
      <w:r>
        <w:rPr>
          <w:rFonts w:hint="eastAsia" w:ascii="楷体" w:hAnsi="楷体" w:eastAsia="楷体" w:cs="宋体"/>
          <w:b/>
          <w:bCs/>
          <w:color w:val="000000"/>
          <w:sz w:val="24"/>
          <w:szCs w:val="24"/>
          <w:highlight w:val="none"/>
          <w:lang w:val="en-US" w:eastAsia="zh-CN"/>
        </w:rPr>
        <w:t>标书费用</w:t>
      </w:r>
    </w:p>
    <w:p w14:paraId="0F04E62E">
      <w:pPr>
        <w:pStyle w:val="1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jc w:val="left"/>
        <w:rPr>
          <w:rFonts w:hint="eastAsia" w:ascii="楷体" w:hAnsi="楷体" w:eastAsia="楷体" w:cs="宋体"/>
          <w:b/>
          <w:bCs/>
          <w:color w:val="000000"/>
          <w:sz w:val="24"/>
          <w:szCs w:val="24"/>
          <w:highlight w:val="none"/>
        </w:rPr>
      </w:pPr>
      <w:r>
        <w:rPr>
          <w:rFonts w:hint="eastAsia" w:ascii="楷体" w:hAnsi="楷体" w:eastAsia="楷体" w:cs="宋体"/>
          <w:color w:val="000000"/>
          <w:sz w:val="24"/>
          <w:szCs w:val="24"/>
          <w:highlight w:val="none"/>
          <w:lang w:val="en-US" w:eastAsia="zh-CN"/>
        </w:rPr>
        <w:t>参与方</w:t>
      </w:r>
      <w:r>
        <w:rPr>
          <w:rFonts w:hint="eastAsia" w:ascii="楷体" w:hAnsi="楷体" w:eastAsia="楷体" w:cs="宋体"/>
          <w:color w:val="000000"/>
          <w:sz w:val="24"/>
          <w:szCs w:val="24"/>
          <w:highlight w:val="none"/>
        </w:rPr>
        <w:t>需在</w:t>
      </w:r>
      <w:r>
        <w:rPr>
          <w:rFonts w:hint="eastAsia" w:ascii="楷体" w:hAnsi="楷体" w:eastAsia="楷体" w:cs="宋体"/>
          <w:color w:val="000000"/>
          <w:sz w:val="24"/>
          <w:szCs w:val="24"/>
          <w:highlight w:val="none"/>
          <w:lang w:val="en-US" w:eastAsia="zh-CN"/>
        </w:rPr>
        <w:t>招标答疑会</w:t>
      </w:r>
      <w:r>
        <w:rPr>
          <w:rFonts w:hint="eastAsia" w:ascii="楷体" w:hAnsi="楷体" w:eastAsia="楷体" w:cs="宋体"/>
          <w:color w:val="000000"/>
          <w:sz w:val="24"/>
          <w:szCs w:val="24"/>
          <w:highlight w:val="none"/>
        </w:rPr>
        <w:t>截止日期前（2026年3月</w:t>
      </w:r>
      <w:r>
        <w:rPr>
          <w:rFonts w:hint="eastAsia" w:ascii="楷体" w:hAnsi="楷体" w:eastAsia="楷体" w:cs="宋体"/>
          <w:color w:val="000000"/>
          <w:sz w:val="24"/>
          <w:szCs w:val="24"/>
          <w:highlight w:val="none"/>
          <w:lang w:val="en-US" w:eastAsia="zh-CN"/>
        </w:rPr>
        <w:t>10</w:t>
      </w:r>
      <w:r>
        <w:rPr>
          <w:rFonts w:hint="eastAsia" w:ascii="楷体" w:hAnsi="楷体" w:eastAsia="楷体" w:cs="宋体"/>
          <w:color w:val="000000"/>
          <w:sz w:val="24"/>
          <w:szCs w:val="24"/>
          <w:highlight w:val="none"/>
        </w:rPr>
        <w:t>日</w:t>
      </w:r>
      <w:r>
        <w:rPr>
          <w:rFonts w:hint="eastAsia" w:ascii="楷体" w:hAnsi="楷体" w:eastAsia="楷体" w:cs="宋体"/>
          <w:color w:val="000000"/>
          <w:sz w:val="24"/>
          <w:szCs w:val="24"/>
          <w:highlight w:val="none"/>
          <w:lang w:val="en-US" w:eastAsia="zh-CN"/>
        </w:rPr>
        <w:t>12</w:t>
      </w:r>
      <w:r>
        <w:rPr>
          <w:rFonts w:hint="eastAsia" w:ascii="楷体" w:hAnsi="楷体" w:eastAsia="楷体" w:cs="宋体"/>
          <w:color w:val="000000"/>
          <w:sz w:val="24"/>
          <w:szCs w:val="24"/>
          <w:highlight w:val="none"/>
        </w:rPr>
        <w:t>：00前）向</w:t>
      </w:r>
      <w:r>
        <w:rPr>
          <w:rFonts w:hint="eastAsia" w:ascii="楷体" w:hAnsi="楷体" w:eastAsia="楷体"/>
          <w:sz w:val="24"/>
          <w:szCs w:val="24"/>
          <w:highlight w:val="none"/>
        </w:rPr>
        <w:t>上海数智世界工业科技集团有限公司</w:t>
      </w:r>
      <w:r>
        <w:rPr>
          <w:rFonts w:hint="eastAsia" w:ascii="楷体" w:hAnsi="楷体" w:eastAsia="楷体" w:cs="宋体"/>
          <w:color w:val="000000"/>
          <w:sz w:val="24"/>
          <w:szCs w:val="24"/>
          <w:highlight w:val="none"/>
        </w:rPr>
        <w:t>缴纳</w:t>
      </w:r>
      <w:r>
        <w:rPr>
          <w:rFonts w:hint="eastAsia" w:ascii="楷体" w:hAnsi="楷体" w:eastAsia="楷体" w:cs="宋体"/>
          <w:color w:val="000000"/>
          <w:sz w:val="24"/>
          <w:szCs w:val="24"/>
          <w:highlight w:val="none"/>
          <w:lang w:val="en-US" w:eastAsia="zh-CN"/>
        </w:rPr>
        <w:t>标书费1000</w:t>
      </w:r>
      <w:r>
        <w:rPr>
          <w:rFonts w:hint="eastAsia" w:ascii="楷体" w:hAnsi="楷体" w:eastAsia="楷体" w:cs="宋体"/>
          <w:color w:val="000000"/>
          <w:sz w:val="24"/>
          <w:szCs w:val="24"/>
          <w:highlight w:val="none"/>
        </w:rPr>
        <w:t>元</w:t>
      </w:r>
      <w:r>
        <w:rPr>
          <w:rFonts w:hint="eastAsia" w:ascii="楷体" w:hAnsi="楷体" w:eastAsia="楷体" w:cs="宋体"/>
          <w:color w:val="000000"/>
          <w:sz w:val="24"/>
          <w:szCs w:val="24"/>
          <w:highlight w:val="none"/>
          <w:lang w:eastAsia="zh-CN"/>
        </w:rPr>
        <w:t>，</w:t>
      </w:r>
      <w:r>
        <w:rPr>
          <w:rFonts w:hint="eastAsia" w:ascii="楷体" w:hAnsi="楷体" w:eastAsia="楷体" w:cs="宋体"/>
          <w:color w:val="000000"/>
          <w:sz w:val="24"/>
          <w:szCs w:val="24"/>
          <w:highlight w:val="none"/>
          <w:lang w:val="en-US" w:eastAsia="zh-CN"/>
        </w:rPr>
        <w:t>获取含报价单的完整标书</w:t>
      </w:r>
      <w:r>
        <w:rPr>
          <w:rFonts w:hint="eastAsia" w:ascii="楷体" w:hAnsi="楷体" w:eastAsia="楷体" w:cs="宋体"/>
          <w:color w:val="000000"/>
          <w:sz w:val="24"/>
          <w:szCs w:val="24"/>
          <w:highlight w:val="none"/>
        </w:rPr>
        <w:t>, 汇款时请备注“</w:t>
      </w:r>
      <w:r>
        <w:rPr>
          <w:rFonts w:hint="eastAsia" w:ascii="楷体" w:hAnsi="楷体" w:eastAsia="楷体" w:cs="宋体"/>
          <w:b/>
          <w:bCs/>
          <w:color w:val="000000"/>
          <w:sz w:val="24"/>
          <w:szCs w:val="24"/>
          <w:highlight w:val="none"/>
          <w:u w:val="single"/>
        </w:rPr>
        <w:t>数智世界2026年棉纱公路运输</w:t>
      </w:r>
      <w:r>
        <w:rPr>
          <w:rFonts w:hint="eastAsia" w:ascii="楷体" w:hAnsi="楷体" w:eastAsia="楷体" w:cs="宋体"/>
          <w:b/>
          <w:bCs/>
          <w:color w:val="000000"/>
          <w:sz w:val="24"/>
          <w:szCs w:val="24"/>
          <w:highlight w:val="none"/>
          <w:u w:val="single"/>
          <w:lang w:val="en-US" w:eastAsia="zh-CN"/>
        </w:rPr>
        <w:t>标书购买费</w:t>
      </w:r>
      <w:r>
        <w:rPr>
          <w:rFonts w:hint="eastAsia" w:ascii="楷体" w:hAnsi="楷体" w:eastAsia="楷体" w:cs="宋体"/>
          <w:b/>
          <w:bCs/>
          <w:color w:val="000000"/>
          <w:sz w:val="24"/>
          <w:szCs w:val="24"/>
          <w:highlight w:val="none"/>
          <w:u w:val="single"/>
        </w:rPr>
        <w:t>”</w:t>
      </w:r>
      <w:r>
        <w:rPr>
          <w:rFonts w:hint="eastAsia" w:ascii="楷体" w:hAnsi="楷体" w:eastAsia="楷体" w:cs="宋体"/>
          <w:color w:val="000000"/>
          <w:sz w:val="24"/>
          <w:szCs w:val="24"/>
          <w:highlight w:val="none"/>
        </w:rPr>
        <w:t>；</w:t>
      </w:r>
    </w:p>
    <w:p w14:paraId="748B1117">
      <w:pPr>
        <w:pStyle w:val="140"/>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b/>
          <w:bCs/>
          <w:color w:val="000000"/>
          <w:sz w:val="24"/>
          <w:szCs w:val="24"/>
          <w:highlight w:val="none"/>
        </w:rPr>
      </w:pPr>
      <w:r>
        <w:rPr>
          <w:rFonts w:hint="eastAsia" w:ascii="楷体" w:hAnsi="楷体" w:eastAsia="楷体" w:cs="宋体"/>
          <w:b/>
          <w:bCs/>
          <w:color w:val="000000"/>
          <w:sz w:val="24"/>
          <w:szCs w:val="24"/>
          <w:highlight w:val="none"/>
        </w:rPr>
        <w:t>投标保证金</w:t>
      </w:r>
    </w:p>
    <w:p w14:paraId="161B8F4D">
      <w:pPr>
        <w:pStyle w:val="1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jc w:val="left"/>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投标方需在投标截止日期前（2026年3月</w:t>
      </w:r>
      <w:r>
        <w:rPr>
          <w:rFonts w:hint="eastAsia" w:ascii="楷体" w:hAnsi="楷体" w:eastAsia="楷体" w:cs="宋体"/>
          <w:color w:val="000000"/>
          <w:sz w:val="24"/>
          <w:szCs w:val="24"/>
          <w:highlight w:val="none"/>
          <w:lang w:val="en-US" w:eastAsia="zh-CN"/>
        </w:rPr>
        <w:t>13</w:t>
      </w:r>
      <w:r>
        <w:rPr>
          <w:rFonts w:hint="eastAsia" w:ascii="楷体" w:hAnsi="楷体" w:eastAsia="楷体" w:cs="宋体"/>
          <w:color w:val="000000"/>
          <w:sz w:val="24"/>
          <w:szCs w:val="24"/>
          <w:highlight w:val="none"/>
        </w:rPr>
        <w:t>日17：00前）向</w:t>
      </w:r>
      <w:r>
        <w:rPr>
          <w:rFonts w:hint="eastAsia" w:ascii="楷体" w:hAnsi="楷体" w:eastAsia="楷体"/>
          <w:sz w:val="24"/>
          <w:szCs w:val="24"/>
          <w:highlight w:val="none"/>
        </w:rPr>
        <w:t>上海数智世界工业科技集团有限公司</w:t>
      </w:r>
      <w:r>
        <w:rPr>
          <w:rFonts w:hint="eastAsia" w:ascii="楷体" w:hAnsi="楷体" w:eastAsia="楷体" w:cs="宋体"/>
          <w:color w:val="000000"/>
          <w:sz w:val="24"/>
          <w:szCs w:val="24"/>
          <w:highlight w:val="none"/>
        </w:rPr>
        <w:t>缴纳10万元投标保证金, 投标方未能</w:t>
      </w:r>
      <w:r>
        <w:rPr>
          <w:rFonts w:hint="eastAsia" w:ascii="楷体" w:hAnsi="楷体" w:eastAsia="楷体" w:cs="宋体"/>
          <w:color w:val="000000"/>
          <w:sz w:val="24"/>
          <w:szCs w:val="24"/>
          <w:highlight w:val="none"/>
          <w:lang w:eastAsia="zh-Hans"/>
        </w:rPr>
        <w:t>按期</w:t>
      </w:r>
      <w:r>
        <w:rPr>
          <w:rFonts w:hint="eastAsia" w:ascii="楷体" w:hAnsi="楷体" w:eastAsia="楷体" w:cs="宋体"/>
          <w:color w:val="000000"/>
          <w:sz w:val="24"/>
          <w:szCs w:val="24"/>
          <w:highlight w:val="none"/>
        </w:rPr>
        <w:t>缴纳保证金的，视同放弃投标资</w:t>
      </w:r>
      <w:r>
        <w:rPr>
          <w:rFonts w:hint="eastAsia" w:ascii="楷体" w:hAnsi="楷体" w:eastAsia="楷体" w:cs="宋体"/>
          <w:color w:val="000000"/>
          <w:sz w:val="24"/>
          <w:szCs w:val="24"/>
          <w:highlight w:val="none"/>
          <w:lang w:eastAsia="zh-Hans"/>
        </w:rPr>
        <w:t>格</w:t>
      </w:r>
      <w:r>
        <w:rPr>
          <w:rFonts w:hint="eastAsia" w:ascii="楷体" w:hAnsi="楷体" w:eastAsia="楷体" w:cs="宋体"/>
          <w:color w:val="000000"/>
          <w:sz w:val="24"/>
          <w:szCs w:val="24"/>
          <w:highlight w:val="none"/>
        </w:rPr>
        <w:t>，汇款时请备注</w:t>
      </w:r>
      <w:bookmarkStart w:id="122" w:name="_GoBack"/>
      <w:r>
        <w:rPr>
          <w:rFonts w:hint="eastAsia" w:ascii="楷体" w:hAnsi="楷体" w:eastAsia="楷体" w:cs="宋体"/>
          <w:color w:val="000000"/>
          <w:sz w:val="24"/>
          <w:szCs w:val="24"/>
          <w:highlight w:val="none"/>
        </w:rPr>
        <w:t>“</w:t>
      </w:r>
      <w:r>
        <w:rPr>
          <w:rFonts w:hint="eastAsia" w:ascii="楷体" w:hAnsi="楷体" w:eastAsia="楷体" w:cs="宋体"/>
          <w:b/>
          <w:bCs/>
          <w:color w:val="000000"/>
          <w:sz w:val="24"/>
          <w:szCs w:val="24"/>
          <w:highlight w:val="none"/>
          <w:u w:val="single"/>
        </w:rPr>
        <w:t>数智世界集团2026年棉纱公路运输第X标段投标保证金”</w:t>
      </w:r>
      <w:bookmarkEnd w:id="122"/>
      <w:r>
        <w:rPr>
          <w:rFonts w:hint="eastAsia" w:ascii="楷体" w:hAnsi="楷体" w:eastAsia="楷体" w:cs="宋体"/>
          <w:color w:val="000000"/>
          <w:sz w:val="24"/>
          <w:szCs w:val="24"/>
          <w:highlight w:val="none"/>
        </w:rPr>
        <w:t>；</w:t>
      </w:r>
    </w:p>
    <w:p w14:paraId="3A553ED6">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color w:val="000000"/>
          <w:sz w:val="24"/>
          <w:szCs w:val="24"/>
          <w:highlight w:val="none"/>
        </w:rPr>
      </w:pPr>
      <w:r>
        <w:rPr>
          <w:rFonts w:hint="eastAsia" w:ascii="楷体" w:hAnsi="楷体" w:eastAsia="楷体" w:cs="宋体"/>
          <w:kern w:val="0"/>
          <w:sz w:val="24"/>
          <w:szCs w:val="24"/>
          <w:highlight w:val="none"/>
        </w:rPr>
        <w:t>保证金汇入账户：数智世界（新疆）纺织科技有限公司</w:t>
      </w:r>
    </w:p>
    <w:p w14:paraId="7358649E">
      <w:pPr>
        <w:widowControl/>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cs="宋体"/>
          <w:kern w:val="0"/>
          <w:sz w:val="24"/>
          <w:szCs w:val="24"/>
          <w:highlight w:val="none"/>
        </w:rPr>
      </w:pPr>
      <w:r>
        <w:rPr>
          <w:rFonts w:hint="eastAsia" w:ascii="楷体" w:hAnsi="楷体" w:eastAsia="楷体" w:cs="宋体"/>
          <w:kern w:val="0"/>
          <w:sz w:val="24"/>
          <w:szCs w:val="24"/>
          <w:highlight w:val="none"/>
        </w:rPr>
        <w:t>收款银行：上海浦东发展发展银行股份有限公司乌鲁木齐分行营业部</w:t>
      </w:r>
    </w:p>
    <w:p w14:paraId="2118E92D">
      <w:pPr>
        <w:widowControl/>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cs="宋体"/>
          <w:kern w:val="0"/>
          <w:sz w:val="24"/>
          <w:szCs w:val="24"/>
          <w:highlight w:val="none"/>
        </w:rPr>
      </w:pPr>
      <w:r>
        <w:rPr>
          <w:rFonts w:hint="eastAsia" w:ascii="楷体" w:hAnsi="楷体" w:eastAsia="楷体" w:cs="宋体"/>
          <w:kern w:val="0"/>
          <w:sz w:val="24"/>
          <w:szCs w:val="24"/>
          <w:highlight w:val="none"/>
        </w:rPr>
        <w:t>账号：60090078801188668888</w:t>
      </w:r>
    </w:p>
    <w:p w14:paraId="53B62CDA">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color w:val="000000"/>
          <w:sz w:val="24"/>
          <w:szCs w:val="24"/>
          <w:highlight w:val="none"/>
        </w:rPr>
      </w:pPr>
      <w:r>
        <w:rPr>
          <w:rFonts w:hint="eastAsia" w:ascii="楷体" w:hAnsi="楷体" w:eastAsia="楷体" w:cs="宋体"/>
          <w:kern w:val="0"/>
          <w:sz w:val="24"/>
          <w:szCs w:val="24"/>
          <w:highlight w:val="none"/>
        </w:rPr>
        <w:t>与我司</w:t>
      </w:r>
      <w:r>
        <w:rPr>
          <w:rFonts w:hint="eastAsia" w:ascii="楷体" w:hAnsi="楷体" w:eastAsia="楷体" w:cs="宋体"/>
          <w:kern w:val="0"/>
          <w:sz w:val="24"/>
          <w:szCs w:val="24"/>
          <w:highlight w:val="none"/>
          <w:lang w:eastAsia="zh-Hans"/>
        </w:rPr>
        <w:t>正在</w:t>
      </w:r>
      <w:r>
        <w:rPr>
          <w:rFonts w:hint="eastAsia" w:ascii="楷体" w:hAnsi="楷体" w:eastAsia="楷体" w:cs="宋体"/>
          <w:kern w:val="0"/>
          <w:sz w:val="24"/>
          <w:szCs w:val="24"/>
          <w:highlight w:val="none"/>
        </w:rPr>
        <w:t>合作中</w:t>
      </w:r>
      <w:r>
        <w:rPr>
          <w:rFonts w:hint="eastAsia" w:ascii="楷体" w:hAnsi="楷体" w:eastAsia="楷体" w:cs="宋体"/>
          <w:kern w:val="0"/>
          <w:sz w:val="24"/>
          <w:szCs w:val="24"/>
          <w:highlight w:val="none"/>
          <w:lang w:eastAsia="zh-Hans"/>
        </w:rPr>
        <w:t>的</w:t>
      </w:r>
      <w:r>
        <w:rPr>
          <w:rFonts w:hint="eastAsia" w:ascii="楷体" w:hAnsi="楷体" w:eastAsia="楷体" w:cs="宋体"/>
          <w:kern w:val="0"/>
          <w:sz w:val="24"/>
          <w:szCs w:val="24"/>
          <w:highlight w:val="none"/>
        </w:rPr>
        <w:t>供应商且存在未结费用金额大于投标保证金的，经</w:t>
      </w:r>
      <w:r>
        <w:rPr>
          <w:rFonts w:hint="eastAsia" w:ascii="楷体" w:hAnsi="楷体" w:eastAsia="楷体" w:cs="宋体"/>
          <w:kern w:val="0"/>
          <w:sz w:val="24"/>
          <w:szCs w:val="24"/>
          <w:highlight w:val="none"/>
          <w:lang w:eastAsia="zh-Hans"/>
        </w:rPr>
        <w:t>我司核实</w:t>
      </w:r>
      <w:r>
        <w:rPr>
          <w:rFonts w:hint="eastAsia" w:ascii="楷体" w:hAnsi="楷体" w:eastAsia="楷体" w:cs="宋体"/>
          <w:kern w:val="0"/>
          <w:sz w:val="24"/>
          <w:szCs w:val="24"/>
          <w:highlight w:val="none"/>
        </w:rPr>
        <w:t>确认</w:t>
      </w:r>
      <w:r>
        <w:rPr>
          <w:rFonts w:hint="eastAsia" w:ascii="楷体" w:hAnsi="楷体" w:eastAsia="楷体" w:cs="宋体"/>
          <w:kern w:val="0"/>
          <w:sz w:val="24"/>
          <w:szCs w:val="24"/>
          <w:highlight w:val="none"/>
          <w:lang w:eastAsia="zh-Hans"/>
        </w:rPr>
        <w:t>同意</w:t>
      </w:r>
      <w:r>
        <w:rPr>
          <w:rFonts w:hint="eastAsia" w:ascii="楷体" w:hAnsi="楷体" w:eastAsia="楷体" w:cs="宋体"/>
          <w:kern w:val="0"/>
          <w:sz w:val="24"/>
          <w:szCs w:val="24"/>
          <w:highlight w:val="none"/>
        </w:rPr>
        <w:t>后可以提交保证金抵扣承诺函</w:t>
      </w:r>
      <w:r>
        <w:rPr>
          <w:rFonts w:hint="eastAsia" w:ascii="楷体" w:hAnsi="楷体" w:eastAsia="楷体" w:cs="宋体"/>
          <w:kern w:val="0"/>
          <w:sz w:val="24"/>
          <w:szCs w:val="24"/>
          <w:highlight w:val="none"/>
          <w:lang w:eastAsia="zh-Hans"/>
        </w:rPr>
        <w:t>，见第四章</w:t>
      </w:r>
      <w:r>
        <w:rPr>
          <w:rFonts w:hint="eastAsia" w:ascii="楷体" w:hAnsi="楷体" w:eastAsia="楷体" w:cs="宋体"/>
          <w:kern w:val="0"/>
          <w:sz w:val="24"/>
          <w:szCs w:val="24"/>
          <w:highlight w:val="none"/>
        </w:rPr>
        <w:t>附件五</w:t>
      </w:r>
      <w:r>
        <w:rPr>
          <w:rFonts w:hint="eastAsia" w:ascii="楷体" w:hAnsi="楷体" w:eastAsia="楷体" w:cs="宋体"/>
          <w:kern w:val="0"/>
          <w:sz w:val="24"/>
          <w:szCs w:val="24"/>
          <w:highlight w:val="none"/>
          <w:lang w:eastAsia="zh-Hans"/>
        </w:rPr>
        <w:t>。</w:t>
      </w:r>
    </w:p>
    <w:p w14:paraId="0EE3884E">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color w:val="000000"/>
          <w:sz w:val="24"/>
          <w:szCs w:val="24"/>
          <w:highlight w:val="none"/>
        </w:rPr>
      </w:pPr>
      <w:r>
        <w:rPr>
          <w:rFonts w:hint="eastAsia" w:ascii="楷体" w:hAnsi="楷体" w:eastAsia="楷体" w:cs="宋体"/>
          <w:kern w:val="0"/>
          <w:sz w:val="24"/>
          <w:szCs w:val="24"/>
          <w:highlight w:val="none"/>
        </w:rPr>
        <w:t>保证金流转</w:t>
      </w:r>
    </w:p>
    <w:p w14:paraId="49F0DB65">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bCs/>
          <w:color w:val="000000"/>
          <w:kern w:val="0"/>
          <w:sz w:val="24"/>
          <w:szCs w:val="24"/>
          <w:highlight w:val="none"/>
        </w:rPr>
        <w:t>若未中标，投标保证金在合同签订后一个月内无息退还；</w:t>
      </w:r>
    </w:p>
    <w:p w14:paraId="381DA156">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bCs/>
          <w:color w:val="000000"/>
          <w:kern w:val="0"/>
          <w:sz w:val="24"/>
          <w:szCs w:val="24"/>
          <w:highlight w:val="none"/>
        </w:rPr>
        <w:t>若中标，将投标保证金转为年度履约保证金，不足部分需在合同签订前补缴；</w:t>
      </w:r>
    </w:p>
    <w:p w14:paraId="63C32C71">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若招标过程中，出现围标串标等行为，招标方有权</w:t>
      </w:r>
      <w:r>
        <w:rPr>
          <w:rFonts w:hint="eastAsia" w:ascii="楷体" w:hAnsi="楷体" w:eastAsia="楷体" w:cs="宋体"/>
          <w:color w:val="000000"/>
          <w:kern w:val="0"/>
          <w:sz w:val="24"/>
          <w:szCs w:val="24"/>
          <w:highlight w:val="none"/>
          <w:lang w:eastAsia="zh-Hans"/>
        </w:rPr>
        <w:t>没收</w:t>
      </w:r>
      <w:r>
        <w:rPr>
          <w:rFonts w:hint="eastAsia" w:ascii="楷体" w:hAnsi="楷体" w:eastAsia="楷体" w:cs="宋体"/>
          <w:color w:val="000000"/>
          <w:kern w:val="0"/>
          <w:sz w:val="24"/>
          <w:szCs w:val="24"/>
          <w:highlight w:val="none"/>
        </w:rPr>
        <w:t>投标保证金；</w:t>
      </w:r>
    </w:p>
    <w:p w14:paraId="518CE0D6">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bCs/>
          <w:color w:val="000000"/>
          <w:kern w:val="0"/>
          <w:sz w:val="24"/>
          <w:szCs w:val="24"/>
          <w:highlight w:val="none"/>
        </w:rPr>
        <w:t>中标后</w:t>
      </w:r>
      <w:r>
        <w:rPr>
          <w:rFonts w:hint="eastAsia" w:ascii="楷体" w:hAnsi="楷体" w:eastAsia="楷体" w:cs="宋体"/>
          <w:bCs/>
          <w:color w:val="000000"/>
          <w:kern w:val="0"/>
          <w:sz w:val="24"/>
          <w:szCs w:val="24"/>
          <w:highlight w:val="none"/>
          <w:lang w:eastAsia="zh-Hans"/>
        </w:rPr>
        <w:t>，</w:t>
      </w:r>
      <w:r>
        <w:rPr>
          <w:rFonts w:hint="eastAsia" w:ascii="楷体" w:hAnsi="楷体" w:eastAsia="楷体" w:cs="宋体"/>
          <w:bCs/>
          <w:color w:val="000000"/>
          <w:kern w:val="0"/>
          <w:sz w:val="24"/>
          <w:szCs w:val="24"/>
          <w:highlight w:val="none"/>
        </w:rPr>
        <w:t>投标方不得弃标，否则我公司有权没收其投标保证金；</w:t>
      </w:r>
    </w:p>
    <w:p w14:paraId="249A6043">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bCs/>
          <w:color w:val="000000"/>
          <w:kern w:val="0"/>
          <w:sz w:val="24"/>
          <w:szCs w:val="24"/>
          <w:highlight w:val="none"/>
        </w:rPr>
        <w:t>合同</w:t>
      </w:r>
      <w:r>
        <w:rPr>
          <w:rFonts w:hint="eastAsia" w:ascii="楷体" w:hAnsi="楷体" w:eastAsia="楷体" w:cs="宋体"/>
          <w:bCs/>
          <w:color w:val="000000"/>
          <w:kern w:val="0"/>
          <w:sz w:val="24"/>
          <w:szCs w:val="24"/>
          <w:highlight w:val="none"/>
          <w:lang w:eastAsia="zh-Hans"/>
        </w:rPr>
        <w:t>履行</w:t>
      </w:r>
      <w:r>
        <w:rPr>
          <w:rFonts w:hint="eastAsia" w:ascii="楷体" w:hAnsi="楷体" w:eastAsia="楷体" w:cs="宋体"/>
          <w:bCs/>
          <w:color w:val="000000"/>
          <w:kern w:val="0"/>
          <w:sz w:val="24"/>
          <w:szCs w:val="24"/>
          <w:highlight w:val="none"/>
        </w:rPr>
        <w:t>期间</w:t>
      </w:r>
      <w:r>
        <w:rPr>
          <w:rFonts w:hint="eastAsia" w:ascii="楷体" w:hAnsi="楷体" w:eastAsia="楷体" w:cs="宋体"/>
          <w:bCs/>
          <w:color w:val="000000"/>
          <w:kern w:val="0"/>
          <w:sz w:val="24"/>
          <w:szCs w:val="24"/>
          <w:highlight w:val="none"/>
          <w:lang w:eastAsia="zh-Hans"/>
        </w:rPr>
        <w:t>中标人</w:t>
      </w:r>
      <w:r>
        <w:rPr>
          <w:rFonts w:hint="eastAsia" w:ascii="楷体" w:hAnsi="楷体" w:eastAsia="楷体" w:cs="宋体"/>
          <w:bCs/>
          <w:color w:val="000000"/>
          <w:kern w:val="0"/>
          <w:sz w:val="24"/>
          <w:szCs w:val="24"/>
          <w:highlight w:val="none"/>
        </w:rPr>
        <w:t>无故中途退出</w:t>
      </w:r>
      <w:r>
        <w:rPr>
          <w:rFonts w:hint="eastAsia" w:ascii="楷体" w:hAnsi="楷体" w:eastAsia="楷体" w:cs="宋体"/>
          <w:bCs/>
          <w:color w:val="000000"/>
          <w:kern w:val="0"/>
          <w:sz w:val="24"/>
          <w:szCs w:val="24"/>
          <w:highlight w:val="none"/>
          <w:lang w:eastAsia="zh-Hans"/>
        </w:rPr>
        <w:t>、解约或终止合作</w:t>
      </w:r>
      <w:r>
        <w:rPr>
          <w:rFonts w:hint="eastAsia" w:ascii="楷体" w:hAnsi="楷体" w:eastAsia="楷体" w:cs="宋体"/>
          <w:bCs/>
          <w:color w:val="000000"/>
          <w:kern w:val="0"/>
          <w:sz w:val="24"/>
          <w:szCs w:val="24"/>
          <w:highlight w:val="none"/>
        </w:rPr>
        <w:t>，招标方有权没收其履约保证金；</w:t>
      </w:r>
    </w:p>
    <w:p w14:paraId="516BC11B">
      <w:pPr>
        <w:pStyle w:val="140"/>
        <w:numPr>
          <w:ilvl w:val="1"/>
          <w:numId w:val="3"/>
        </w:numPr>
        <w:spacing w:line="360" w:lineRule="auto"/>
        <w:ind w:firstLineChars="0"/>
        <w:rPr>
          <w:rFonts w:hint="eastAsia" w:ascii="楷体" w:hAnsi="楷体" w:eastAsia="楷体" w:cs="宋体"/>
          <w:bCs/>
          <w:kern w:val="0"/>
          <w:sz w:val="24"/>
          <w:szCs w:val="24"/>
          <w:highlight w:val="none"/>
        </w:rPr>
      </w:pPr>
      <w:r>
        <w:rPr>
          <w:rFonts w:hint="eastAsia" w:ascii="楷体" w:hAnsi="楷体" w:eastAsia="楷体"/>
          <w:bCs/>
          <w:kern w:val="10"/>
          <w:sz w:val="24"/>
          <w:szCs w:val="24"/>
          <w:highlight w:val="none"/>
        </w:rPr>
        <w:t>缴纳保证金但未出席参加竞价，招标方有权</w:t>
      </w:r>
      <w:r>
        <w:rPr>
          <w:rFonts w:hint="eastAsia" w:ascii="楷体" w:hAnsi="楷体" w:eastAsia="楷体"/>
          <w:bCs/>
          <w:kern w:val="10"/>
          <w:sz w:val="24"/>
          <w:szCs w:val="24"/>
          <w:highlight w:val="none"/>
          <w:lang w:eastAsia="zh-Hans"/>
        </w:rPr>
        <w:t>没收</w:t>
      </w:r>
      <w:r>
        <w:rPr>
          <w:rFonts w:hint="eastAsia" w:ascii="楷体" w:hAnsi="楷体" w:eastAsia="楷体"/>
          <w:bCs/>
          <w:kern w:val="10"/>
          <w:sz w:val="24"/>
          <w:szCs w:val="24"/>
          <w:highlight w:val="none"/>
        </w:rPr>
        <w:t>该</w:t>
      </w:r>
      <w:r>
        <w:rPr>
          <w:rFonts w:hint="eastAsia" w:ascii="楷体" w:hAnsi="楷体" w:eastAsia="楷体"/>
          <w:bCs/>
          <w:kern w:val="10"/>
          <w:sz w:val="24"/>
          <w:szCs w:val="24"/>
          <w:highlight w:val="none"/>
          <w:lang w:eastAsia="zh-Hans"/>
        </w:rPr>
        <w:t>全部</w:t>
      </w:r>
      <w:r>
        <w:rPr>
          <w:rFonts w:hint="eastAsia" w:ascii="楷体" w:hAnsi="楷体" w:eastAsia="楷体"/>
          <w:bCs/>
          <w:kern w:val="10"/>
          <w:sz w:val="24"/>
          <w:szCs w:val="24"/>
          <w:highlight w:val="none"/>
        </w:rPr>
        <w:t>投标保证金。</w:t>
      </w:r>
    </w:p>
    <w:p w14:paraId="2DDC0FB0">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b/>
          <w:bCs/>
          <w:kern w:val="0"/>
          <w:sz w:val="24"/>
          <w:szCs w:val="24"/>
          <w:highlight w:val="none"/>
          <w:u w:val="single"/>
        </w:rPr>
      </w:pPr>
      <w:r>
        <w:rPr>
          <w:rFonts w:hint="eastAsia" w:ascii="楷体" w:hAnsi="楷体" w:eastAsia="楷体" w:cs="宋体"/>
          <w:b/>
          <w:bCs/>
          <w:kern w:val="0"/>
          <w:sz w:val="24"/>
          <w:szCs w:val="24"/>
          <w:highlight w:val="none"/>
          <w:u w:val="single"/>
        </w:rPr>
        <w:t>投标保证金以10万元进行缴纳。</w:t>
      </w:r>
    </w:p>
    <w:p w14:paraId="6E529579">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b/>
          <w:bCs/>
          <w:kern w:val="0"/>
          <w:sz w:val="24"/>
          <w:szCs w:val="24"/>
          <w:highlight w:val="none"/>
          <w:u w:val="single"/>
        </w:rPr>
      </w:pPr>
      <w:r>
        <w:rPr>
          <w:rFonts w:hint="eastAsia" w:ascii="楷体" w:hAnsi="楷体" w:eastAsia="楷体" w:cs="宋体"/>
          <w:b/>
          <w:bCs/>
          <w:kern w:val="0"/>
          <w:sz w:val="24"/>
          <w:szCs w:val="24"/>
          <w:highlight w:val="none"/>
          <w:u w:val="single"/>
          <w:lang w:eastAsia="zh-Hans"/>
        </w:rPr>
        <w:t>合同</w:t>
      </w:r>
      <w:r>
        <w:rPr>
          <w:rFonts w:hint="eastAsia" w:ascii="楷体" w:hAnsi="楷体" w:eastAsia="楷体" w:cs="宋体"/>
          <w:b/>
          <w:bCs/>
          <w:kern w:val="0"/>
          <w:sz w:val="24"/>
          <w:szCs w:val="24"/>
          <w:highlight w:val="none"/>
          <w:u w:val="single"/>
        </w:rPr>
        <w:t>履约保证金100万元/标段，在合同签订前缴纳完毕。</w:t>
      </w:r>
    </w:p>
    <w:p w14:paraId="713D282F">
      <w:pPr>
        <w:pStyle w:val="3"/>
        <w:spacing w:before="156"/>
        <w:jc w:val="left"/>
        <w:rPr>
          <w:rFonts w:hint="eastAsia" w:ascii="楷体" w:hAnsi="楷体" w:eastAsia="楷体"/>
          <w:highlight w:val="none"/>
        </w:rPr>
      </w:pPr>
      <w:bookmarkStart w:id="16" w:name="_Toc1704787673"/>
      <w:bookmarkStart w:id="17" w:name="_Toc383"/>
      <w:bookmarkStart w:id="18" w:name="_Toc18771"/>
      <w:bookmarkStart w:id="19" w:name="_Toc25410"/>
      <w:r>
        <w:rPr>
          <w:rFonts w:hint="eastAsia" w:ascii="楷体" w:hAnsi="楷体" w:eastAsia="楷体"/>
          <w:highlight w:val="none"/>
        </w:rPr>
        <w:t>三、投标人报价</w:t>
      </w:r>
      <w:bookmarkEnd w:id="16"/>
      <w:bookmarkEnd w:id="17"/>
      <w:bookmarkEnd w:id="18"/>
      <w:bookmarkEnd w:id="19"/>
    </w:p>
    <w:p w14:paraId="523B7C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sz w:val="24"/>
          <w:highlight w:val="none"/>
        </w:rPr>
      </w:pPr>
      <w:r>
        <w:rPr>
          <w:rFonts w:ascii="楷体" w:hAnsi="楷体" w:eastAsia="楷体"/>
          <w:sz w:val="24"/>
          <w:highlight w:val="none"/>
        </w:rPr>
        <w:t>1</w:t>
      </w:r>
      <w:r>
        <w:rPr>
          <w:rFonts w:hint="eastAsia" w:ascii="楷体" w:hAnsi="楷体" w:eastAsia="楷体"/>
          <w:sz w:val="24"/>
          <w:highlight w:val="none"/>
        </w:rPr>
        <w:t>）</w:t>
      </w:r>
      <w:r>
        <w:rPr>
          <w:rFonts w:hint="eastAsia" w:ascii="楷体" w:hAnsi="楷体" w:eastAsia="楷体"/>
          <w:sz w:val="24"/>
          <w:highlight w:val="none"/>
          <w:lang w:eastAsia="zh-Hans"/>
        </w:rPr>
        <w:t>投标人应</w:t>
      </w:r>
      <w:r>
        <w:rPr>
          <w:rFonts w:hint="eastAsia" w:ascii="楷体" w:hAnsi="楷体" w:eastAsia="楷体"/>
          <w:sz w:val="24"/>
          <w:highlight w:val="none"/>
          <w:lang w:val="en-US" w:eastAsia="zh-CN"/>
        </w:rPr>
        <w:t>支付标书费后</w:t>
      </w:r>
      <w:r>
        <w:rPr>
          <w:rFonts w:hint="eastAsia" w:ascii="楷体" w:hAnsi="楷体" w:eastAsia="楷体"/>
          <w:sz w:val="24"/>
          <w:highlight w:val="none"/>
        </w:rPr>
        <w:t>自行下载文件包中《数智世界集团2026年棉纱公路运输项目报价表》电子表格模板及相关资料，根据要求完成填写，</w:t>
      </w:r>
      <w:r>
        <w:rPr>
          <w:rFonts w:hint="eastAsia" w:ascii="楷体" w:hAnsi="楷体" w:eastAsia="楷体"/>
          <w:sz w:val="24"/>
          <w:highlight w:val="none"/>
          <w:lang w:eastAsia="zh-Hans"/>
        </w:rPr>
        <w:t>向招标人提交纸质</w:t>
      </w:r>
      <w:r>
        <w:rPr>
          <w:rFonts w:hint="eastAsia" w:ascii="楷体" w:hAnsi="楷体" w:eastAsia="楷体"/>
          <w:sz w:val="24"/>
          <w:highlight w:val="none"/>
        </w:rPr>
        <w:t>盖章版报价表；</w:t>
      </w:r>
    </w:p>
    <w:p w14:paraId="4F1884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sz w:val="24"/>
          <w:highlight w:val="none"/>
        </w:rPr>
      </w:pPr>
      <w:r>
        <w:rPr>
          <w:rFonts w:ascii="楷体" w:hAnsi="楷体" w:eastAsia="楷体"/>
          <w:sz w:val="24"/>
          <w:highlight w:val="none"/>
        </w:rPr>
        <w:t>2</w:t>
      </w:r>
      <w:r>
        <w:rPr>
          <w:rFonts w:hint="eastAsia" w:ascii="楷体" w:hAnsi="楷体" w:eastAsia="楷体"/>
          <w:sz w:val="24"/>
          <w:highlight w:val="none"/>
        </w:rPr>
        <w:t>）请不要修改报价表任何逻辑，如报价表填写不完整，投标方可在投标结束前联系招标人进行澄清动作；</w:t>
      </w:r>
    </w:p>
    <w:p w14:paraId="7A9B14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sz w:val="24"/>
          <w:highlight w:val="none"/>
        </w:rPr>
      </w:pPr>
      <w:r>
        <w:rPr>
          <w:rFonts w:hint="eastAsia" w:ascii="楷体" w:hAnsi="楷体" w:eastAsia="楷体"/>
          <w:sz w:val="24"/>
          <w:highlight w:val="none"/>
        </w:rPr>
        <w:t>3）报价表运量（该运量仅供参考，不做任何承诺）。</w:t>
      </w:r>
    </w:p>
    <w:p w14:paraId="2A617F6D">
      <w:pPr>
        <w:pStyle w:val="3"/>
        <w:spacing w:before="156"/>
        <w:jc w:val="left"/>
        <w:rPr>
          <w:rFonts w:hint="eastAsia" w:ascii="楷体" w:hAnsi="楷体" w:eastAsia="楷体"/>
          <w:highlight w:val="none"/>
        </w:rPr>
      </w:pPr>
      <w:bookmarkStart w:id="20" w:name="_Toc1632421224"/>
      <w:bookmarkStart w:id="21" w:name="_Toc5375"/>
      <w:bookmarkStart w:id="22" w:name="_Toc7"/>
      <w:bookmarkStart w:id="23" w:name="_Toc7169"/>
      <w:r>
        <w:rPr>
          <w:rFonts w:hint="eastAsia" w:ascii="楷体" w:hAnsi="楷体" w:eastAsia="楷体"/>
          <w:highlight w:val="none"/>
        </w:rPr>
        <w:t>四、投标文件的递交</w:t>
      </w:r>
      <w:bookmarkEnd w:id="20"/>
      <w:bookmarkEnd w:id="21"/>
      <w:bookmarkEnd w:id="22"/>
      <w:bookmarkEnd w:id="23"/>
    </w:p>
    <w:p w14:paraId="79624F49">
      <w:pPr>
        <w:rPr>
          <w:rFonts w:hint="eastAsia" w:ascii="楷体" w:hAnsi="楷体" w:eastAsia="楷体"/>
          <w:sz w:val="24"/>
          <w:szCs w:val="24"/>
          <w:highlight w:val="none"/>
          <w:lang w:eastAsia="zh-Hans"/>
        </w:rPr>
      </w:pPr>
      <w:r>
        <w:rPr>
          <w:rFonts w:hint="eastAsia" w:ascii="楷体" w:hAnsi="楷体" w:eastAsia="楷体"/>
          <w:sz w:val="24"/>
          <w:szCs w:val="24"/>
          <w:highlight w:val="none"/>
        </w:rPr>
        <w:t>1）按照招标文件中</w:t>
      </w:r>
      <w:r>
        <w:rPr>
          <w:rFonts w:hint="eastAsia" w:ascii="楷体" w:hAnsi="楷体" w:eastAsia="楷体"/>
          <w:sz w:val="24"/>
          <w:szCs w:val="24"/>
          <w:highlight w:val="none"/>
          <w:lang w:eastAsia="zh-Hans"/>
        </w:rPr>
        <w:t>第一章第八条联系方式中</w:t>
      </w:r>
      <w:r>
        <w:rPr>
          <w:rFonts w:hint="eastAsia" w:ascii="楷体" w:hAnsi="楷体" w:eastAsia="楷体"/>
          <w:sz w:val="24"/>
          <w:szCs w:val="24"/>
          <w:highlight w:val="none"/>
        </w:rPr>
        <w:t>指定地点投递投标文件</w:t>
      </w:r>
      <w:r>
        <w:rPr>
          <w:rFonts w:hint="eastAsia" w:ascii="楷体" w:hAnsi="楷体" w:eastAsia="楷体"/>
          <w:sz w:val="24"/>
          <w:szCs w:val="24"/>
          <w:highlight w:val="none"/>
          <w:lang w:eastAsia="zh-Hans"/>
        </w:rPr>
        <w:t>。</w:t>
      </w:r>
    </w:p>
    <w:p w14:paraId="4B88A9CA">
      <w:pPr>
        <w:ind w:left="480" w:hanging="480" w:hangingChars="200"/>
        <w:rPr>
          <w:rFonts w:hint="eastAsia" w:ascii="楷体" w:hAnsi="楷体" w:eastAsia="楷体"/>
          <w:sz w:val="24"/>
          <w:szCs w:val="24"/>
          <w:highlight w:val="none"/>
        </w:rPr>
      </w:pPr>
      <w:r>
        <w:rPr>
          <w:rFonts w:hint="eastAsia" w:ascii="楷体" w:hAnsi="楷体" w:eastAsia="楷体"/>
          <w:sz w:val="24"/>
          <w:szCs w:val="24"/>
          <w:highlight w:val="none"/>
        </w:rPr>
        <w:t xml:space="preserve">  2026年3月</w:t>
      </w:r>
      <w:r>
        <w:rPr>
          <w:rFonts w:hint="eastAsia" w:ascii="楷体" w:hAnsi="楷体" w:eastAsia="楷体"/>
          <w:sz w:val="24"/>
          <w:szCs w:val="24"/>
          <w:highlight w:val="none"/>
          <w:lang w:val="en-US" w:eastAsia="zh-CN"/>
        </w:rPr>
        <w:t>17</w:t>
      </w:r>
      <w:r>
        <w:rPr>
          <w:rFonts w:hint="eastAsia" w:ascii="楷体" w:hAnsi="楷体" w:eastAsia="楷体"/>
          <w:sz w:val="24"/>
          <w:szCs w:val="24"/>
          <w:highlight w:val="none"/>
        </w:rPr>
        <w:t>日17：00前将纸质标书</w:t>
      </w:r>
      <w:r>
        <w:rPr>
          <w:rFonts w:hint="eastAsia" w:ascii="楷体" w:hAnsi="楷体" w:eastAsia="楷体"/>
          <w:sz w:val="24"/>
          <w:szCs w:val="24"/>
          <w:highlight w:val="none"/>
          <w:lang w:val="en-US" w:eastAsia="zh-CN"/>
        </w:rPr>
        <w:t>顺丰</w:t>
      </w:r>
      <w:r>
        <w:rPr>
          <w:rFonts w:hint="eastAsia" w:ascii="楷体" w:hAnsi="楷体" w:eastAsia="楷体"/>
          <w:sz w:val="24"/>
          <w:szCs w:val="24"/>
          <w:highlight w:val="none"/>
        </w:rPr>
        <w:t>快递送至：</w:t>
      </w:r>
    </w:p>
    <w:p w14:paraId="54E69767">
      <w:pPr>
        <w:ind w:firstLine="240" w:firstLineChars="100"/>
        <w:rPr>
          <w:rFonts w:hint="eastAsia" w:ascii="楷体" w:hAnsi="楷体" w:eastAsia="楷体" w:cs="宋体"/>
          <w:sz w:val="24"/>
          <w:szCs w:val="21"/>
          <w:highlight w:val="none"/>
        </w:rPr>
      </w:pPr>
      <w:r>
        <w:rPr>
          <w:rFonts w:hint="eastAsia" w:ascii="楷体" w:hAnsi="楷体" w:eastAsia="楷体" w:cs="宋体"/>
          <w:sz w:val="24"/>
          <w:szCs w:val="21"/>
          <w:highlight w:val="none"/>
        </w:rPr>
        <w:t>浦东新区东育路211弄11号前世贸中心三期B座10层1001室</w:t>
      </w:r>
    </w:p>
    <w:p w14:paraId="2D4B2F46">
      <w:pPr>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 xml:space="preserve">  收件人：陈阳      电话：13795324873</w:t>
      </w:r>
    </w:p>
    <w:p w14:paraId="386156A3">
      <w:pPr>
        <w:rPr>
          <w:rFonts w:hint="eastAsia" w:ascii="楷体" w:hAnsi="楷体" w:eastAsia="楷体" w:cs="宋体"/>
          <w:sz w:val="24"/>
          <w:szCs w:val="21"/>
          <w:highlight w:val="none"/>
        </w:rPr>
      </w:pPr>
      <w:r>
        <w:rPr>
          <w:rFonts w:hint="eastAsia" w:ascii="楷体" w:hAnsi="楷体" w:eastAsia="楷体" w:cs="宋体"/>
          <w:sz w:val="24"/>
          <w:szCs w:val="21"/>
          <w:highlight w:val="none"/>
        </w:rPr>
        <w:t xml:space="preserve">  如在规定时间内未发出标书，视为投标方弃标。</w:t>
      </w:r>
    </w:p>
    <w:p w14:paraId="09458CA0">
      <w:pPr>
        <w:pStyle w:val="3"/>
        <w:spacing w:before="156"/>
        <w:jc w:val="left"/>
        <w:rPr>
          <w:rFonts w:hint="eastAsia" w:ascii="楷体" w:hAnsi="楷体" w:eastAsia="楷体"/>
          <w:highlight w:val="none"/>
        </w:rPr>
      </w:pPr>
      <w:bookmarkStart w:id="24" w:name="_Toc25815"/>
      <w:bookmarkStart w:id="25" w:name="_Toc1750"/>
      <w:bookmarkStart w:id="26" w:name="_Toc30431"/>
      <w:bookmarkStart w:id="27" w:name="_Toc1999921343"/>
      <w:r>
        <w:rPr>
          <w:rFonts w:hint="eastAsia" w:ascii="楷体" w:hAnsi="楷体" w:eastAsia="楷体"/>
          <w:highlight w:val="none"/>
        </w:rPr>
        <w:t>五、中标通知</w:t>
      </w:r>
      <w:bookmarkEnd w:id="24"/>
      <w:bookmarkEnd w:id="25"/>
      <w:bookmarkEnd w:id="26"/>
      <w:bookmarkEnd w:id="27"/>
    </w:p>
    <w:p w14:paraId="4C308EB2">
      <w:pPr>
        <w:spacing w:line="360" w:lineRule="auto"/>
        <w:rPr>
          <w:rFonts w:hint="eastAsia" w:ascii="楷体" w:hAnsi="楷体" w:eastAsia="楷体"/>
          <w:sz w:val="24"/>
          <w:szCs w:val="24"/>
          <w:highlight w:val="none"/>
        </w:rPr>
      </w:pPr>
      <w:r>
        <w:rPr>
          <w:highlight w:val="none"/>
        </w:rPr>
        <w:t>1</w:t>
      </w:r>
      <w:r>
        <w:rPr>
          <w:rFonts w:hint="eastAsia" w:ascii="楷体" w:hAnsi="楷体" w:eastAsia="楷体"/>
          <w:sz w:val="24"/>
          <w:szCs w:val="24"/>
          <w:highlight w:val="none"/>
        </w:rPr>
        <w:t>）中标人确定后，招标方通过邮件或其他方式告知投标人中标结果。</w:t>
      </w:r>
    </w:p>
    <w:p w14:paraId="7DDF21D2">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2）招标人确定中选单位后，招标人发布中选通知书。</w:t>
      </w:r>
    </w:p>
    <w:p w14:paraId="7421695A">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3）中选单位在接到中选通知书后，双方根据协商确定方式，进行合同签订，中标人须</w:t>
      </w:r>
      <w:r>
        <w:rPr>
          <w:rFonts w:hint="eastAsia" w:ascii="楷体" w:hAnsi="楷体" w:eastAsia="楷体"/>
          <w:sz w:val="24"/>
          <w:szCs w:val="24"/>
          <w:highlight w:val="none"/>
          <w:lang w:eastAsia="zh-Hans"/>
        </w:rPr>
        <w:t>以</w:t>
      </w:r>
      <w:r>
        <w:rPr>
          <w:rFonts w:hint="eastAsia" w:ascii="楷体" w:hAnsi="楷体" w:eastAsia="楷体"/>
          <w:sz w:val="24"/>
          <w:szCs w:val="24"/>
          <w:highlight w:val="none"/>
        </w:rPr>
        <w:t>协商方式与招标人进行合同签署工作。</w:t>
      </w:r>
    </w:p>
    <w:p w14:paraId="40D38979">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4）中标人在</w:t>
      </w:r>
      <w:r>
        <w:rPr>
          <w:rFonts w:hint="eastAsia" w:ascii="楷体" w:hAnsi="楷体" w:eastAsia="楷体"/>
          <w:sz w:val="24"/>
          <w:szCs w:val="24"/>
          <w:highlight w:val="none"/>
          <w:lang w:eastAsia="zh-Hans"/>
        </w:rPr>
        <w:t>合同签署</w:t>
      </w:r>
      <w:r>
        <w:rPr>
          <w:rFonts w:hint="eastAsia" w:ascii="楷体" w:hAnsi="楷体" w:eastAsia="楷体"/>
          <w:sz w:val="24"/>
          <w:szCs w:val="24"/>
          <w:highlight w:val="none"/>
        </w:rPr>
        <w:t>前规定时间内向招标人提交履约保证金，人民币100万元/标段。</w:t>
      </w:r>
    </w:p>
    <w:p w14:paraId="0E4DB077">
      <w:pPr>
        <w:pStyle w:val="3"/>
        <w:spacing w:before="156"/>
        <w:jc w:val="left"/>
        <w:rPr>
          <w:rFonts w:hint="eastAsia" w:ascii="楷体" w:hAnsi="楷体" w:eastAsia="楷体"/>
          <w:highlight w:val="none"/>
        </w:rPr>
      </w:pPr>
      <w:bookmarkStart w:id="28" w:name="_Toc263968957"/>
      <w:bookmarkStart w:id="29" w:name="_Toc10984"/>
      <w:bookmarkStart w:id="30" w:name="_Toc14199"/>
      <w:bookmarkStart w:id="31" w:name="_Toc194"/>
      <w:r>
        <w:rPr>
          <w:rFonts w:hint="eastAsia" w:ascii="楷体" w:hAnsi="楷体" w:eastAsia="楷体"/>
          <w:highlight w:val="none"/>
        </w:rPr>
        <w:t>六、投诉方式</w:t>
      </w:r>
      <w:bookmarkEnd w:id="28"/>
      <w:bookmarkEnd w:id="29"/>
      <w:bookmarkEnd w:id="30"/>
      <w:bookmarkEnd w:id="31"/>
    </w:p>
    <w:p w14:paraId="55777FF9">
      <w:pPr>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廉洁投诉联系人：许馨怡</w:t>
      </w:r>
    </w:p>
    <w:p w14:paraId="64755CE1">
      <w:pPr>
        <w:adjustRightInd w:val="0"/>
        <w:snapToGrid w:val="0"/>
        <w:rPr>
          <w:rFonts w:hint="eastAsia" w:ascii="楷体" w:hAnsi="楷体" w:eastAsia="楷体"/>
          <w:sz w:val="24"/>
          <w:szCs w:val="24"/>
          <w:highlight w:val="none"/>
        </w:rPr>
      </w:pPr>
      <w:r>
        <w:rPr>
          <w:rFonts w:hint="eastAsia" w:ascii="楷体" w:hAnsi="楷体" w:eastAsia="楷体" w:cs="宋体"/>
          <w:sz w:val="24"/>
          <w:szCs w:val="21"/>
          <w:highlight w:val="none"/>
        </w:rPr>
        <w:t>邮箱：xuxinyi@diwgroup.net</w:t>
      </w:r>
    </w:p>
    <w:p w14:paraId="05791363">
      <w:pPr>
        <w:pStyle w:val="3"/>
        <w:spacing w:before="156"/>
        <w:jc w:val="left"/>
        <w:rPr>
          <w:rFonts w:hint="eastAsia" w:ascii="楷体" w:hAnsi="楷体" w:eastAsia="楷体"/>
          <w:highlight w:val="none"/>
        </w:rPr>
      </w:pPr>
      <w:bookmarkStart w:id="32" w:name="_Toc466930328"/>
      <w:bookmarkStart w:id="33" w:name="_Toc1972529244"/>
      <w:bookmarkStart w:id="34" w:name="_Toc3436"/>
      <w:bookmarkStart w:id="35" w:name="_Toc432068491"/>
      <w:bookmarkStart w:id="36" w:name="_Toc9761"/>
      <w:bookmarkStart w:id="37" w:name="_Toc12982"/>
      <w:r>
        <w:rPr>
          <w:rFonts w:hint="eastAsia" w:ascii="楷体" w:hAnsi="楷体" w:eastAsia="楷体"/>
          <w:highlight w:val="none"/>
        </w:rPr>
        <w:t>七、联系方式</w:t>
      </w:r>
      <w:bookmarkEnd w:id="32"/>
      <w:bookmarkEnd w:id="33"/>
      <w:bookmarkEnd w:id="34"/>
      <w:bookmarkEnd w:id="35"/>
      <w:bookmarkEnd w:id="36"/>
      <w:bookmarkEnd w:id="37"/>
    </w:p>
    <w:p w14:paraId="10E962CF">
      <w:pPr>
        <w:topLinePunct/>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招 标 人：上海数智世界工业科技集团有限公司</w:t>
      </w:r>
    </w:p>
    <w:p w14:paraId="64804842">
      <w:pPr>
        <w:topLinePunct/>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地    址：上海浦东新区东育路211弄11号前世贸中心三期B座10层1001室</w:t>
      </w:r>
    </w:p>
    <w:p w14:paraId="2860FA7F">
      <w:pPr>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联 系 人：陈阳       电  话：13795324873</w:t>
      </w:r>
      <w:bookmarkStart w:id="38" w:name="_Toc436138607"/>
      <w:bookmarkStart w:id="39" w:name="_Toc434407035"/>
      <w:bookmarkStart w:id="40" w:name="_Toc436137321"/>
      <w:bookmarkStart w:id="41" w:name="_Toc467846712"/>
      <w:bookmarkStart w:id="42" w:name="_Toc1593945169"/>
      <w:bookmarkStart w:id="43" w:name="_Toc433111827"/>
      <w:bookmarkStart w:id="44" w:name="_Toc436138193"/>
      <w:bookmarkStart w:id="45" w:name="_Toc436137142"/>
    </w:p>
    <w:p w14:paraId="2B76B0E8">
      <w:pPr>
        <w:pStyle w:val="2"/>
        <w:spacing w:before="156"/>
        <w:rPr>
          <w:rFonts w:hint="eastAsia" w:ascii="楷体" w:hAnsi="楷体" w:eastAsia="楷体"/>
          <w:sz w:val="40"/>
          <w:highlight w:val="none"/>
        </w:rPr>
      </w:pPr>
      <w:bookmarkStart w:id="46" w:name="_Toc17513"/>
      <w:bookmarkStart w:id="47" w:name="_Toc31443"/>
      <w:r>
        <w:rPr>
          <w:rFonts w:hint="eastAsia" w:ascii="楷体" w:hAnsi="楷体" w:eastAsia="楷体"/>
          <w:sz w:val="40"/>
          <w:highlight w:val="none"/>
        </w:rPr>
        <w:t>第二章  投标人须知</w:t>
      </w:r>
      <w:bookmarkEnd w:id="38"/>
      <w:bookmarkEnd w:id="39"/>
      <w:bookmarkEnd w:id="40"/>
      <w:bookmarkEnd w:id="41"/>
      <w:bookmarkEnd w:id="42"/>
      <w:bookmarkEnd w:id="43"/>
      <w:bookmarkEnd w:id="44"/>
      <w:bookmarkEnd w:id="45"/>
      <w:bookmarkEnd w:id="46"/>
      <w:bookmarkEnd w:id="47"/>
      <w:bookmarkStart w:id="48" w:name="_Toc349823002"/>
      <w:bookmarkStart w:id="49" w:name="_Toc467846713"/>
      <w:bookmarkStart w:id="50" w:name="_Toc466930330"/>
      <w:bookmarkStart w:id="51" w:name="_Toc432068493"/>
    </w:p>
    <w:p w14:paraId="036D74CC">
      <w:pPr>
        <w:pStyle w:val="3"/>
        <w:spacing w:before="156"/>
        <w:jc w:val="left"/>
        <w:rPr>
          <w:rFonts w:hint="eastAsia" w:ascii="楷体" w:hAnsi="楷体" w:eastAsia="楷体"/>
          <w:highlight w:val="none"/>
        </w:rPr>
      </w:pPr>
      <w:bookmarkStart w:id="52" w:name="_Toc25118"/>
      <w:bookmarkStart w:id="53" w:name="_Toc19909"/>
      <w:bookmarkStart w:id="54" w:name="_Toc1725442705"/>
      <w:bookmarkStart w:id="55" w:name="_Toc524"/>
      <w:r>
        <w:rPr>
          <w:rFonts w:hint="eastAsia" w:ascii="楷体" w:hAnsi="楷体" w:eastAsia="楷体"/>
          <w:highlight w:val="none"/>
        </w:rPr>
        <w:t>一、重要提示1：投标人“围标串标”行为处罚</w:t>
      </w:r>
      <w:bookmarkEnd w:id="52"/>
      <w:bookmarkEnd w:id="53"/>
      <w:bookmarkEnd w:id="54"/>
      <w:bookmarkEnd w:id="55"/>
    </w:p>
    <w:p w14:paraId="192678A6">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投标人通过一定途径，秘密伙同其他投标人共同商量投标策略，串通投标报价，排斥其他投标人参与公平竞争或损害招标人利益，以非法手段谋取中标行为的，将永久取消在上海数智世界工业科技集团内各单位的中选资格，招标人根据实际情况评估，如情节严重，招标人有权决定立即终止与投标人的一切业务合作。</w:t>
      </w:r>
    </w:p>
    <w:p w14:paraId="73EF372B">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围标串标情形认定方式：</w:t>
      </w:r>
    </w:p>
    <w:p w14:paraId="3B2455AC">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1. 不同供应商的响应文件或报价文件由同一单位或者个人编制的；</w:t>
      </w:r>
    </w:p>
    <w:p w14:paraId="7BF7746F">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2. 不同供应商的响应文件或报价文件载明的项目管理成员为同一人的；</w:t>
      </w:r>
    </w:p>
    <w:p w14:paraId="5F3AB511">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3. 不同供应商响应文件或报价文件异常一致或者报价呈规律性差异的；</w:t>
      </w:r>
    </w:p>
    <w:p w14:paraId="6A4138FF">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4. 不同供应商的</w:t>
      </w:r>
      <w:r>
        <w:rPr>
          <w:rFonts w:hint="eastAsia" w:ascii="楷体" w:hAnsi="楷体" w:eastAsia="楷体"/>
          <w:sz w:val="24"/>
          <w:szCs w:val="24"/>
          <w:highlight w:val="none"/>
          <w:lang w:eastAsia="zh-Hans"/>
        </w:rPr>
        <w:t>投标</w:t>
      </w:r>
      <w:r>
        <w:rPr>
          <w:rFonts w:hint="eastAsia" w:ascii="楷体" w:hAnsi="楷体" w:eastAsia="楷体"/>
          <w:sz w:val="24"/>
          <w:szCs w:val="24"/>
          <w:highlight w:val="none"/>
        </w:rPr>
        <w:t>保证金</w:t>
      </w:r>
      <w:r>
        <w:rPr>
          <w:rFonts w:hint="eastAsia" w:ascii="楷体" w:hAnsi="楷体" w:eastAsia="楷体"/>
          <w:sz w:val="24"/>
          <w:szCs w:val="24"/>
          <w:highlight w:val="none"/>
          <w:lang w:eastAsia="zh-Hans"/>
        </w:rPr>
        <w:t>或履约保证金</w:t>
      </w:r>
      <w:r>
        <w:rPr>
          <w:rFonts w:hint="eastAsia" w:ascii="楷体" w:hAnsi="楷体" w:eastAsia="楷体"/>
          <w:sz w:val="24"/>
          <w:szCs w:val="24"/>
          <w:highlight w:val="none"/>
        </w:rPr>
        <w:t>从同一单位或者个人的账户转出的；</w:t>
      </w:r>
    </w:p>
    <w:p w14:paraId="63347716">
      <w:pPr>
        <w:tabs>
          <w:tab w:val="left" w:pos="567"/>
        </w:tabs>
        <w:spacing w:line="360" w:lineRule="auto"/>
        <w:jc w:val="left"/>
        <w:rPr>
          <w:rFonts w:hint="eastAsia" w:ascii="楷体" w:hAnsi="楷体" w:eastAsia="楷体"/>
          <w:sz w:val="24"/>
          <w:szCs w:val="24"/>
          <w:highlight w:val="none"/>
          <w:lang w:eastAsia="zh-Hans"/>
        </w:rPr>
      </w:pPr>
      <w:r>
        <w:rPr>
          <w:rFonts w:hint="eastAsia" w:ascii="楷体" w:hAnsi="楷体" w:eastAsia="楷体"/>
          <w:sz w:val="24"/>
          <w:szCs w:val="24"/>
          <w:highlight w:val="none"/>
        </w:rPr>
        <w:t>5．不同供应商的单位负责人或法定代表人为同一人的</w:t>
      </w:r>
      <w:r>
        <w:rPr>
          <w:rFonts w:hint="eastAsia" w:ascii="楷体" w:hAnsi="楷体" w:eastAsia="楷体"/>
          <w:sz w:val="24"/>
          <w:szCs w:val="24"/>
          <w:highlight w:val="none"/>
          <w:lang w:eastAsia="zh-Hans"/>
        </w:rPr>
        <w:t>；</w:t>
      </w:r>
    </w:p>
    <w:p w14:paraId="6EC968C5">
      <w:pPr>
        <w:tabs>
          <w:tab w:val="left" w:pos="567"/>
        </w:tabs>
        <w:spacing w:line="360" w:lineRule="auto"/>
        <w:jc w:val="left"/>
        <w:rPr>
          <w:rFonts w:hint="eastAsia" w:ascii="楷体" w:hAnsi="楷体" w:eastAsia="楷体"/>
          <w:sz w:val="24"/>
          <w:szCs w:val="24"/>
          <w:highlight w:val="none"/>
          <w:lang w:eastAsia="zh-Hans"/>
        </w:rPr>
      </w:pPr>
      <w:r>
        <w:rPr>
          <w:rFonts w:ascii="楷体" w:hAnsi="楷体" w:eastAsia="楷体"/>
          <w:sz w:val="24"/>
          <w:szCs w:val="24"/>
          <w:highlight w:val="none"/>
          <w:lang w:eastAsia="zh-Hans"/>
        </w:rPr>
        <w:t>6</w:t>
      </w:r>
      <w:r>
        <w:rPr>
          <w:rFonts w:hint="eastAsia" w:ascii="楷体" w:hAnsi="楷体" w:eastAsia="楷体"/>
          <w:sz w:val="24"/>
          <w:szCs w:val="24"/>
          <w:highlight w:val="none"/>
          <w:lang w:eastAsia="zh-Hans"/>
        </w:rPr>
        <w:t>.</w:t>
      </w:r>
      <w:r>
        <w:rPr>
          <w:rFonts w:ascii="楷体" w:hAnsi="楷体" w:eastAsia="楷体"/>
          <w:sz w:val="24"/>
          <w:szCs w:val="24"/>
          <w:highlight w:val="none"/>
          <w:lang w:eastAsia="zh-Hans"/>
        </w:rPr>
        <w:t xml:space="preserve"> </w:t>
      </w:r>
      <w:r>
        <w:rPr>
          <w:rFonts w:hint="eastAsia" w:ascii="楷体" w:hAnsi="楷体" w:eastAsia="楷体"/>
          <w:sz w:val="24"/>
          <w:szCs w:val="24"/>
          <w:highlight w:val="none"/>
        </w:rPr>
        <w:t>不同供应商之间存在控股、管理关系的</w:t>
      </w:r>
      <w:r>
        <w:rPr>
          <w:rFonts w:hint="eastAsia" w:ascii="楷体" w:hAnsi="楷体" w:eastAsia="楷体"/>
          <w:sz w:val="24"/>
          <w:szCs w:val="24"/>
          <w:highlight w:val="none"/>
          <w:lang w:eastAsia="zh-Hans"/>
        </w:rPr>
        <w:t>；</w:t>
      </w:r>
    </w:p>
    <w:p w14:paraId="3FC54F58">
      <w:pPr>
        <w:tabs>
          <w:tab w:val="left" w:pos="567"/>
        </w:tabs>
        <w:spacing w:line="360" w:lineRule="auto"/>
        <w:jc w:val="left"/>
        <w:rPr>
          <w:rFonts w:hint="eastAsia" w:ascii="楷体" w:hAnsi="楷体" w:eastAsia="楷体"/>
          <w:sz w:val="24"/>
          <w:szCs w:val="24"/>
          <w:highlight w:val="none"/>
        </w:rPr>
      </w:pPr>
      <w:r>
        <w:rPr>
          <w:rFonts w:ascii="楷体" w:hAnsi="楷体" w:eastAsia="楷体"/>
          <w:sz w:val="24"/>
          <w:szCs w:val="24"/>
          <w:highlight w:val="none"/>
          <w:lang w:eastAsia="zh-Hans"/>
        </w:rPr>
        <w:t xml:space="preserve">7. </w:t>
      </w:r>
      <w:r>
        <w:rPr>
          <w:rFonts w:hint="eastAsia" w:ascii="楷体" w:hAnsi="楷体" w:eastAsia="楷体"/>
          <w:sz w:val="24"/>
          <w:szCs w:val="24"/>
          <w:highlight w:val="none"/>
        </w:rPr>
        <w:t>不同供应商的股东中存在相同主体的</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包括自然人、公司等</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除非供应商提供充足证据证明该情形不会影响到采购公正性；</w:t>
      </w:r>
    </w:p>
    <w:p w14:paraId="0F81AD87">
      <w:pPr>
        <w:spacing w:line="360" w:lineRule="auto"/>
        <w:rPr>
          <w:highlight w:val="none"/>
        </w:rPr>
      </w:pPr>
      <w:r>
        <w:rPr>
          <w:rFonts w:ascii="楷体" w:hAnsi="楷体" w:eastAsia="楷体"/>
          <w:sz w:val="24"/>
          <w:szCs w:val="24"/>
          <w:highlight w:val="none"/>
        </w:rPr>
        <w:t>8</w:t>
      </w:r>
      <w:r>
        <w:rPr>
          <w:rFonts w:hint="eastAsia" w:ascii="楷体" w:hAnsi="楷体" w:eastAsia="楷体"/>
          <w:sz w:val="24"/>
          <w:szCs w:val="24"/>
          <w:highlight w:val="none"/>
        </w:rPr>
        <w:t>. 其他法律法规规定的串通投标情形。</w:t>
      </w:r>
    </w:p>
    <w:p w14:paraId="7CEABD40">
      <w:pPr>
        <w:pStyle w:val="3"/>
        <w:spacing w:before="156"/>
        <w:jc w:val="left"/>
        <w:rPr>
          <w:rFonts w:hint="eastAsia" w:ascii="楷体" w:hAnsi="楷体" w:eastAsia="楷体"/>
          <w:highlight w:val="none"/>
        </w:rPr>
      </w:pPr>
      <w:bookmarkStart w:id="56" w:name="_Toc14819"/>
      <w:bookmarkStart w:id="57" w:name="_Toc26051"/>
      <w:bookmarkStart w:id="58" w:name="_Toc2043857494"/>
      <w:bookmarkStart w:id="59" w:name="_Toc2281"/>
      <w:r>
        <w:rPr>
          <w:rFonts w:hint="eastAsia" w:ascii="楷体" w:hAnsi="楷体" w:eastAsia="楷体"/>
          <w:highlight w:val="none"/>
        </w:rPr>
        <w:t>二、重要提示2：无效投标文件的判定及否决投标的</w:t>
      </w:r>
      <w:r>
        <w:rPr>
          <w:rFonts w:hint="eastAsia" w:ascii="楷体" w:hAnsi="楷体" w:eastAsia="楷体"/>
          <w:highlight w:val="none"/>
          <w:lang w:eastAsia="zh-Hans"/>
        </w:rPr>
        <w:t>情形</w:t>
      </w:r>
      <w:r>
        <w:rPr>
          <w:rFonts w:hint="eastAsia" w:ascii="楷体" w:hAnsi="楷体" w:eastAsia="楷体"/>
          <w:highlight w:val="none"/>
        </w:rPr>
        <w:t>：</w:t>
      </w:r>
      <w:bookmarkEnd w:id="56"/>
      <w:bookmarkEnd w:id="57"/>
      <w:bookmarkEnd w:id="58"/>
      <w:bookmarkEnd w:id="59"/>
    </w:p>
    <w:p w14:paraId="546B3CB4">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1.</w:t>
      </w:r>
      <w:r>
        <w:rPr>
          <w:rFonts w:ascii="楷体" w:hAnsi="楷体" w:eastAsia="楷体"/>
          <w:sz w:val="24"/>
          <w:szCs w:val="24"/>
          <w:highlight w:val="none"/>
        </w:rPr>
        <w:t xml:space="preserve"> </w:t>
      </w:r>
      <w:r>
        <w:rPr>
          <w:rFonts w:hint="eastAsia" w:ascii="楷体" w:hAnsi="楷体" w:eastAsia="楷体"/>
          <w:sz w:val="24"/>
          <w:szCs w:val="24"/>
          <w:highlight w:val="none"/>
        </w:rPr>
        <w:t>投标人或投标文件出现下列第2条情形之一的，其投标文件将被拒收：</w:t>
      </w:r>
    </w:p>
    <w:p w14:paraId="3104BA5B">
      <w:pPr>
        <w:spacing w:line="360" w:lineRule="auto"/>
        <w:jc w:val="left"/>
        <w:rPr>
          <w:rFonts w:hint="eastAsia" w:ascii="楷体" w:hAnsi="楷体" w:eastAsia="楷体"/>
          <w:sz w:val="24"/>
          <w:szCs w:val="24"/>
          <w:highlight w:val="none"/>
          <w:lang w:eastAsia="zh-Hans"/>
        </w:rPr>
      </w:pPr>
      <w:r>
        <w:rPr>
          <w:rFonts w:hint="eastAsia" w:ascii="楷体" w:hAnsi="楷体" w:eastAsia="楷体"/>
          <w:sz w:val="24"/>
          <w:szCs w:val="24"/>
          <w:highlight w:val="none"/>
        </w:rPr>
        <w:t>2</w:t>
      </w:r>
      <w:r>
        <w:rPr>
          <w:rFonts w:ascii="楷体" w:hAnsi="楷体" w:eastAsia="楷体"/>
          <w:sz w:val="24"/>
          <w:szCs w:val="24"/>
          <w:highlight w:val="none"/>
        </w:rPr>
        <w:t>. 评审委员会</w:t>
      </w:r>
      <w:r>
        <w:rPr>
          <w:rFonts w:hint="eastAsia" w:ascii="楷体" w:hAnsi="楷体" w:eastAsia="楷体"/>
          <w:sz w:val="24"/>
          <w:szCs w:val="24"/>
          <w:highlight w:val="none"/>
        </w:rPr>
        <w:t>在评审过程中，发现投标人或投标文件出现下列情形之一的，判定为投标无效。被判定为无效投标的投标文件，其所有投标文件均不能参与评审。判定投标无效前已评审的投标文件，其投标文件应一律。判定为无效投标文件，已进行评分的，其得分不参与各种计算</w:t>
      </w:r>
      <w:r>
        <w:rPr>
          <w:rFonts w:hint="eastAsia" w:ascii="楷体" w:hAnsi="楷体" w:eastAsia="楷体"/>
          <w:sz w:val="24"/>
          <w:szCs w:val="24"/>
          <w:highlight w:val="none"/>
          <w:lang w:eastAsia="zh-Hans"/>
        </w:rPr>
        <w:t>：</w:t>
      </w:r>
    </w:p>
    <w:p w14:paraId="1D6DFD4B">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ascii="楷体" w:hAnsi="楷体" w:eastAsia="楷体"/>
          <w:sz w:val="24"/>
          <w:szCs w:val="24"/>
          <w:highlight w:val="none"/>
          <w:lang w:eastAsia="zh-Hans"/>
        </w:rPr>
        <w:t>1</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投标人未按照招标文件要求提交投标保证金或保证金金额不足、保函有效期不足、投标保证金形式或出具投标保函的银行不符合招标文件要求的；</w:t>
      </w:r>
    </w:p>
    <w:p w14:paraId="1F9ADD9F">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ascii="楷体" w:hAnsi="楷体" w:eastAsia="楷体"/>
          <w:sz w:val="24"/>
          <w:szCs w:val="24"/>
          <w:highlight w:val="none"/>
          <w:lang w:eastAsia="zh-Hans"/>
        </w:rPr>
        <w:t>2</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不同投标人单位负责人为同一人或者存在控股、管理关系的；</w:t>
      </w:r>
    </w:p>
    <w:p w14:paraId="1334D928">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ascii="楷体" w:hAnsi="楷体" w:eastAsia="楷体"/>
          <w:sz w:val="24"/>
          <w:szCs w:val="24"/>
          <w:highlight w:val="none"/>
          <w:lang w:eastAsia="zh-Hans"/>
        </w:rPr>
        <w:t>3</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资格审查不合格的；</w:t>
      </w:r>
    </w:p>
    <w:p w14:paraId="6D7B9671">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4</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招标文件规定不接受联合体投标，投标人组成联合体投标的；</w:t>
      </w:r>
    </w:p>
    <w:p w14:paraId="39474EC2">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5</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经</w:t>
      </w:r>
      <w:r>
        <w:rPr>
          <w:rFonts w:ascii="楷体" w:hAnsi="楷体" w:eastAsia="楷体"/>
          <w:sz w:val="24"/>
          <w:szCs w:val="24"/>
          <w:highlight w:val="none"/>
        </w:rPr>
        <w:t>评审委员会</w:t>
      </w:r>
      <w:r>
        <w:rPr>
          <w:rFonts w:hint="eastAsia" w:ascii="楷体" w:hAnsi="楷体" w:eastAsia="楷体"/>
          <w:sz w:val="24"/>
          <w:szCs w:val="24"/>
          <w:highlight w:val="none"/>
        </w:rPr>
        <w:t>确定，存在《中华人民共和国招标投标法实施条例》第三十九条、第四十条规定的“投标人串通投标”情形的；</w:t>
      </w:r>
    </w:p>
    <w:p w14:paraId="7FA53CEB">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6</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经</w:t>
      </w:r>
      <w:r>
        <w:rPr>
          <w:rFonts w:ascii="楷体" w:hAnsi="楷体" w:eastAsia="楷体"/>
          <w:sz w:val="24"/>
          <w:szCs w:val="24"/>
          <w:highlight w:val="none"/>
        </w:rPr>
        <w:t>评审委员会</w:t>
      </w:r>
      <w:r>
        <w:rPr>
          <w:rFonts w:hint="eastAsia" w:ascii="楷体" w:hAnsi="楷体" w:eastAsia="楷体"/>
          <w:sz w:val="24"/>
          <w:szCs w:val="24"/>
          <w:highlight w:val="none"/>
        </w:rPr>
        <w:t>确定，存在《中华人民共和国招标投标法实施条例》第四十一条规定的“招标人与投标人串通投标”情形的；</w:t>
      </w:r>
    </w:p>
    <w:p w14:paraId="011EF86A">
      <w:pPr>
        <w:tabs>
          <w:tab w:val="left" w:pos="567"/>
        </w:tabs>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7</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投标人递交两份或多份内容不同的投标文件，或在一份投标文件中对同一招标项目报有两个或多个报价，且未声明哪一个有效，按招标文件规定提交备选投标文件的除外；</w:t>
      </w:r>
    </w:p>
    <w:p w14:paraId="1C2CA37F">
      <w:pPr>
        <w:tabs>
          <w:tab w:val="left" w:pos="567"/>
        </w:tabs>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8</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串通投标、以行贿手段谋取中标、以他人名义或者其他弄虚作假方式投标的；</w:t>
      </w:r>
    </w:p>
    <w:p w14:paraId="77890053">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9</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投标有效期不足的；</w:t>
      </w:r>
    </w:p>
    <w:p w14:paraId="5DDE568A">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10</w:t>
      </w:r>
      <w:r>
        <w:rPr>
          <w:rFonts w:hint="eastAsia" w:ascii="楷体" w:hAnsi="楷体" w:eastAsia="楷体"/>
          <w:sz w:val="24"/>
          <w:szCs w:val="24"/>
          <w:highlight w:val="none"/>
          <w:lang w:eastAsia="zh-Hans"/>
        </w:rPr>
        <w:t>）投标文件没有响应</w:t>
      </w:r>
      <w:r>
        <w:rPr>
          <w:rFonts w:hint="eastAsia" w:ascii="楷体" w:hAnsi="楷体" w:eastAsia="楷体"/>
          <w:sz w:val="24"/>
          <w:szCs w:val="24"/>
          <w:highlight w:val="none"/>
        </w:rPr>
        <w:t>招标人认为投标人必须作出响应的其它实质性要求和条件。</w:t>
      </w:r>
    </w:p>
    <w:bookmarkEnd w:id="48"/>
    <w:bookmarkEnd w:id="49"/>
    <w:bookmarkEnd w:id="50"/>
    <w:bookmarkEnd w:id="51"/>
    <w:p w14:paraId="35AAE166">
      <w:pPr>
        <w:pStyle w:val="3"/>
        <w:spacing w:before="156"/>
        <w:jc w:val="left"/>
        <w:rPr>
          <w:rFonts w:hint="eastAsia" w:ascii="楷体" w:hAnsi="楷体" w:eastAsia="楷体"/>
          <w:highlight w:val="none"/>
        </w:rPr>
      </w:pPr>
      <w:bookmarkStart w:id="60" w:name="_Toc2111967893"/>
      <w:bookmarkStart w:id="61" w:name="_Toc27462"/>
      <w:bookmarkStart w:id="62" w:name="_Toc24710"/>
      <w:bookmarkStart w:id="63" w:name="_Toc1266"/>
      <w:r>
        <w:rPr>
          <w:rFonts w:hint="eastAsia" w:ascii="楷体" w:hAnsi="楷体" w:eastAsia="楷体"/>
          <w:highlight w:val="none"/>
        </w:rPr>
        <w:t>二、投标人须知前附表</w:t>
      </w:r>
      <w:bookmarkEnd w:id="60"/>
      <w:bookmarkEnd w:id="61"/>
      <w:bookmarkEnd w:id="62"/>
      <w:bookmarkEnd w:id="63"/>
      <w:bookmarkStart w:id="64" w:name="_Toc436137334"/>
      <w:bookmarkStart w:id="65" w:name="_Toc436138206"/>
      <w:bookmarkStart w:id="66" w:name="_Toc467846732"/>
      <w:bookmarkStart w:id="67" w:name="_Toc433111840"/>
      <w:bookmarkStart w:id="68" w:name="_Toc436138620"/>
      <w:bookmarkStart w:id="69" w:name="_Toc436137155"/>
      <w:bookmarkStart w:id="70" w:name="_Toc434407048"/>
      <w:bookmarkStart w:id="71" w:name="_Toc436137161"/>
      <w:bookmarkStart w:id="72" w:name="_Toc436138626"/>
      <w:bookmarkStart w:id="73" w:name="_Toc436137340"/>
      <w:bookmarkStart w:id="74" w:name="_Toc436138212"/>
      <w:bookmarkStart w:id="75" w:name="_Toc433111846"/>
      <w:bookmarkStart w:id="76" w:name="_Toc434407054"/>
    </w:p>
    <w:tbl>
      <w:tblPr>
        <w:tblStyle w:val="38"/>
        <w:tblW w:w="5068" w:type="pct"/>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469"/>
        <w:gridCol w:w="6426"/>
      </w:tblGrid>
      <w:tr w14:paraId="33FD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7795C3CB">
            <w:pPr>
              <w:widowControl/>
              <w:jc w:val="center"/>
              <w:rPr>
                <w:rFonts w:hint="eastAsia" w:ascii="楷体" w:hAnsi="楷体" w:eastAsia="楷体" w:cs="宋体"/>
                <w:b/>
                <w:bCs/>
                <w:color w:val="000000"/>
                <w:kern w:val="0"/>
                <w:sz w:val="24"/>
                <w:szCs w:val="24"/>
                <w:highlight w:val="none"/>
              </w:rPr>
            </w:pPr>
            <w:r>
              <w:rPr>
                <w:rFonts w:hint="eastAsia" w:ascii="楷体" w:hAnsi="楷体" w:eastAsia="楷体" w:cs="宋体"/>
                <w:b/>
                <w:bCs/>
                <w:color w:val="000000"/>
                <w:kern w:val="0"/>
                <w:sz w:val="24"/>
                <w:szCs w:val="24"/>
                <w:highlight w:val="none"/>
              </w:rPr>
              <w:t>编号</w:t>
            </w:r>
          </w:p>
        </w:tc>
        <w:tc>
          <w:tcPr>
            <w:tcW w:w="850" w:type="pct"/>
            <w:vAlign w:val="center"/>
          </w:tcPr>
          <w:p w14:paraId="4785365C">
            <w:pPr>
              <w:widowControl/>
              <w:jc w:val="center"/>
              <w:rPr>
                <w:rFonts w:hint="eastAsia" w:ascii="楷体" w:hAnsi="楷体" w:eastAsia="楷体" w:cs="宋体"/>
                <w:b/>
                <w:bCs/>
                <w:color w:val="000000"/>
                <w:kern w:val="0"/>
                <w:sz w:val="24"/>
                <w:szCs w:val="24"/>
                <w:highlight w:val="none"/>
              </w:rPr>
            </w:pPr>
            <w:r>
              <w:rPr>
                <w:rFonts w:hint="eastAsia" w:ascii="楷体" w:hAnsi="楷体" w:eastAsia="楷体" w:cs="宋体"/>
                <w:b/>
                <w:bCs/>
                <w:color w:val="000000"/>
                <w:kern w:val="0"/>
                <w:sz w:val="24"/>
                <w:szCs w:val="24"/>
                <w:highlight w:val="none"/>
              </w:rPr>
              <w:t>条款名称</w:t>
            </w:r>
          </w:p>
        </w:tc>
        <w:tc>
          <w:tcPr>
            <w:tcW w:w="3719" w:type="pct"/>
            <w:vAlign w:val="center"/>
          </w:tcPr>
          <w:p w14:paraId="5C834BC0">
            <w:pPr>
              <w:widowControl/>
              <w:jc w:val="center"/>
              <w:rPr>
                <w:rFonts w:hint="eastAsia" w:ascii="楷体" w:hAnsi="楷体" w:eastAsia="楷体" w:cs="宋体"/>
                <w:b/>
                <w:bCs/>
                <w:color w:val="000000"/>
                <w:kern w:val="0"/>
                <w:sz w:val="24"/>
                <w:szCs w:val="24"/>
                <w:highlight w:val="none"/>
              </w:rPr>
            </w:pPr>
            <w:r>
              <w:rPr>
                <w:rFonts w:hint="eastAsia" w:ascii="楷体" w:hAnsi="楷体" w:eastAsia="楷体" w:cs="宋体"/>
                <w:b/>
                <w:bCs/>
                <w:color w:val="000000"/>
                <w:kern w:val="0"/>
                <w:sz w:val="24"/>
                <w:szCs w:val="24"/>
                <w:highlight w:val="none"/>
              </w:rPr>
              <w:t>编 列 内 容</w:t>
            </w:r>
          </w:p>
        </w:tc>
      </w:tr>
      <w:tr w14:paraId="4931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430" w:type="pct"/>
            <w:vAlign w:val="center"/>
          </w:tcPr>
          <w:p w14:paraId="2E902A2C">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w:t>
            </w:r>
          </w:p>
        </w:tc>
        <w:tc>
          <w:tcPr>
            <w:tcW w:w="850" w:type="pct"/>
            <w:vAlign w:val="center"/>
          </w:tcPr>
          <w:p w14:paraId="6BAEB64B">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招标人</w:t>
            </w:r>
          </w:p>
        </w:tc>
        <w:tc>
          <w:tcPr>
            <w:tcW w:w="3719" w:type="pct"/>
            <w:vAlign w:val="center"/>
          </w:tcPr>
          <w:p w14:paraId="2894530F">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名称：</w:t>
            </w:r>
            <w:r>
              <w:rPr>
                <w:rFonts w:hint="eastAsia" w:ascii="楷体" w:hAnsi="楷体" w:eastAsia="楷体"/>
                <w:sz w:val="24"/>
                <w:szCs w:val="24"/>
                <w:highlight w:val="none"/>
              </w:rPr>
              <w:t>上海数智世界工业科技集团有限公司</w:t>
            </w:r>
          </w:p>
          <w:p w14:paraId="5D432B02">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地址：</w:t>
            </w:r>
            <w:r>
              <w:rPr>
                <w:rFonts w:hint="eastAsia" w:ascii="楷体" w:hAnsi="楷体" w:eastAsia="楷体" w:cs="宋体"/>
                <w:sz w:val="24"/>
                <w:szCs w:val="21"/>
                <w:highlight w:val="none"/>
              </w:rPr>
              <w:t>上海浦东新区东育路211弄11号前世贸中心三期B座10层1001室</w:t>
            </w:r>
          </w:p>
          <w:p w14:paraId="74D5CD48">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联系人：陈阳 13795324873</w:t>
            </w:r>
          </w:p>
        </w:tc>
      </w:tr>
      <w:tr w14:paraId="4259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30" w:type="pct"/>
            <w:vAlign w:val="center"/>
          </w:tcPr>
          <w:p w14:paraId="7F0C5388">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w:t>
            </w:r>
          </w:p>
        </w:tc>
        <w:tc>
          <w:tcPr>
            <w:tcW w:w="850" w:type="pct"/>
            <w:vAlign w:val="center"/>
          </w:tcPr>
          <w:p w14:paraId="16ED8431">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项目名称</w:t>
            </w:r>
          </w:p>
        </w:tc>
        <w:tc>
          <w:tcPr>
            <w:tcW w:w="3719" w:type="pct"/>
            <w:vAlign w:val="center"/>
          </w:tcPr>
          <w:p w14:paraId="30F501FA">
            <w:pPr>
              <w:widowControl/>
              <w:rPr>
                <w:rFonts w:hint="eastAsia" w:ascii="楷体" w:hAnsi="楷体" w:eastAsia="楷体" w:cs="宋体"/>
                <w:color w:val="000000"/>
                <w:kern w:val="0"/>
                <w:sz w:val="24"/>
                <w:szCs w:val="24"/>
                <w:highlight w:val="none"/>
              </w:rPr>
            </w:pPr>
            <w:r>
              <w:rPr>
                <w:rFonts w:hint="eastAsia" w:ascii="楷体" w:hAnsi="楷体" w:eastAsia="楷体"/>
                <w:sz w:val="24"/>
                <w:szCs w:val="24"/>
                <w:highlight w:val="none"/>
              </w:rPr>
              <w:t>数智世界集团2026年棉纱公路运输服务项目</w:t>
            </w:r>
          </w:p>
        </w:tc>
      </w:tr>
      <w:tr w14:paraId="5347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01884AB0">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3</w:t>
            </w:r>
          </w:p>
        </w:tc>
        <w:tc>
          <w:tcPr>
            <w:tcW w:w="850" w:type="pct"/>
            <w:vAlign w:val="center"/>
          </w:tcPr>
          <w:p w14:paraId="64A5F749">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服务地点</w:t>
            </w:r>
          </w:p>
        </w:tc>
        <w:tc>
          <w:tcPr>
            <w:tcW w:w="3719" w:type="pct"/>
            <w:vAlign w:val="center"/>
          </w:tcPr>
          <w:p w14:paraId="4E0C91F2">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工厂：</w:t>
            </w:r>
            <w:r>
              <w:rPr>
                <w:rFonts w:hint="eastAsia" w:ascii="楷体" w:hAnsi="楷体" w:eastAsia="楷体" w:cs="楷体"/>
                <w:color w:val="000000"/>
                <w:kern w:val="0"/>
                <w:sz w:val="22"/>
                <w:szCs w:val="22"/>
                <w:highlight w:val="none"/>
                <w:lang w:bidi="ar"/>
              </w:rPr>
              <w:t>雅安、阿拉尔、吐鲁番、喀什、奎屯</w:t>
            </w:r>
          </w:p>
        </w:tc>
      </w:tr>
      <w:tr w14:paraId="4AA7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07AF77F5">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4</w:t>
            </w:r>
          </w:p>
        </w:tc>
        <w:tc>
          <w:tcPr>
            <w:tcW w:w="850" w:type="pct"/>
            <w:vAlign w:val="center"/>
          </w:tcPr>
          <w:p w14:paraId="7199A1BB">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服务期限</w:t>
            </w:r>
          </w:p>
        </w:tc>
        <w:tc>
          <w:tcPr>
            <w:tcW w:w="3719" w:type="pct"/>
            <w:vAlign w:val="center"/>
          </w:tcPr>
          <w:p w14:paraId="2DDE77D3">
            <w:pPr>
              <w:widowControl/>
              <w:jc w:val="left"/>
              <w:rPr>
                <w:rFonts w:hint="eastAsia" w:ascii="楷体" w:hAnsi="楷体" w:eastAsia="楷体" w:cs="宋体"/>
                <w:color w:val="000000"/>
                <w:kern w:val="0"/>
                <w:sz w:val="24"/>
                <w:szCs w:val="24"/>
                <w:highlight w:val="none"/>
                <w:u w:val="single"/>
              </w:rPr>
            </w:pPr>
            <w:r>
              <w:rPr>
                <w:rFonts w:hint="eastAsia" w:ascii="楷体" w:hAnsi="楷体" w:eastAsia="楷体" w:cs="宋体"/>
                <w:color w:val="000000"/>
                <w:kern w:val="0"/>
                <w:sz w:val="24"/>
                <w:szCs w:val="24"/>
                <w:highlight w:val="none"/>
              </w:rPr>
              <w:t>合同期限</w:t>
            </w:r>
            <w:r>
              <w:rPr>
                <w:rFonts w:hint="eastAsia" w:ascii="楷体" w:hAnsi="楷体" w:eastAsia="楷体" w:cs="宋体"/>
                <w:color w:val="000000"/>
                <w:kern w:val="0"/>
                <w:sz w:val="24"/>
                <w:szCs w:val="24"/>
                <w:highlight w:val="none"/>
                <w:lang w:eastAsia="zh-Hans"/>
              </w:rPr>
              <w:t>暂定</w:t>
            </w:r>
            <w:r>
              <w:rPr>
                <w:rFonts w:ascii="楷体" w:hAnsi="楷体" w:eastAsia="楷体" w:cs="宋体"/>
                <w:color w:val="000000"/>
                <w:kern w:val="0"/>
                <w:sz w:val="24"/>
                <w:szCs w:val="24"/>
                <w:highlight w:val="none"/>
                <w:u w:val="single"/>
              </w:rPr>
              <w:t xml:space="preserve"> </w:t>
            </w:r>
            <w:r>
              <w:rPr>
                <w:rFonts w:hint="eastAsia" w:ascii="楷体" w:hAnsi="楷体" w:eastAsia="楷体" w:cs="宋体"/>
                <w:color w:val="000000"/>
                <w:kern w:val="0"/>
                <w:sz w:val="24"/>
                <w:szCs w:val="24"/>
                <w:highlight w:val="none"/>
                <w:u w:val="single"/>
              </w:rPr>
              <w:t>1</w:t>
            </w:r>
            <w:r>
              <w:rPr>
                <w:rFonts w:ascii="楷体" w:hAnsi="楷体" w:eastAsia="楷体" w:cs="宋体"/>
                <w:color w:val="000000"/>
                <w:kern w:val="0"/>
                <w:sz w:val="24"/>
                <w:szCs w:val="24"/>
                <w:highlight w:val="none"/>
                <w:u w:val="single"/>
              </w:rPr>
              <w:t xml:space="preserve"> </w:t>
            </w:r>
            <w:r>
              <w:rPr>
                <w:rFonts w:hint="eastAsia" w:ascii="楷体" w:hAnsi="楷体" w:eastAsia="楷体" w:cs="宋体"/>
                <w:color w:val="000000"/>
                <w:kern w:val="0"/>
                <w:sz w:val="24"/>
                <w:szCs w:val="24"/>
                <w:highlight w:val="none"/>
                <w:u w:val="single"/>
              </w:rPr>
              <w:t>年</w:t>
            </w:r>
          </w:p>
        </w:tc>
      </w:tr>
      <w:tr w14:paraId="0D21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1AEEE4DE">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5</w:t>
            </w:r>
          </w:p>
        </w:tc>
        <w:tc>
          <w:tcPr>
            <w:tcW w:w="850" w:type="pct"/>
            <w:vAlign w:val="center"/>
          </w:tcPr>
          <w:p w14:paraId="59CED4AA">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最高报价限价</w:t>
            </w:r>
          </w:p>
        </w:tc>
        <w:tc>
          <w:tcPr>
            <w:tcW w:w="3719" w:type="pct"/>
            <w:vAlign w:val="center"/>
          </w:tcPr>
          <w:p w14:paraId="6EC16A8D">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无</w:t>
            </w:r>
          </w:p>
        </w:tc>
      </w:tr>
      <w:tr w14:paraId="5608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Align w:val="center"/>
          </w:tcPr>
          <w:p w14:paraId="5D0BEF6A">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6</w:t>
            </w:r>
          </w:p>
        </w:tc>
        <w:tc>
          <w:tcPr>
            <w:tcW w:w="850" w:type="pct"/>
            <w:vAlign w:val="center"/>
          </w:tcPr>
          <w:p w14:paraId="2DEC9CC3">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谈判轮次</w:t>
            </w:r>
          </w:p>
        </w:tc>
        <w:tc>
          <w:tcPr>
            <w:tcW w:w="3719" w:type="pct"/>
            <w:vAlign w:val="center"/>
          </w:tcPr>
          <w:p w14:paraId="6946A3DA">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不事先确定</w:t>
            </w:r>
          </w:p>
        </w:tc>
      </w:tr>
      <w:tr w14:paraId="5124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2C80A4A3">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7</w:t>
            </w:r>
          </w:p>
        </w:tc>
        <w:tc>
          <w:tcPr>
            <w:tcW w:w="850" w:type="pct"/>
            <w:vAlign w:val="center"/>
          </w:tcPr>
          <w:p w14:paraId="5E38BC68">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中标条件</w:t>
            </w:r>
          </w:p>
        </w:tc>
        <w:tc>
          <w:tcPr>
            <w:tcW w:w="3719" w:type="pct"/>
            <w:vAlign w:val="center"/>
          </w:tcPr>
          <w:p w14:paraId="41A0CEA7">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在满足资质和技术表情况下，最低价中标。</w:t>
            </w:r>
          </w:p>
        </w:tc>
      </w:tr>
      <w:tr w14:paraId="637AC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080A4FF2">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8</w:t>
            </w:r>
          </w:p>
        </w:tc>
        <w:tc>
          <w:tcPr>
            <w:tcW w:w="850" w:type="pct"/>
            <w:vAlign w:val="center"/>
          </w:tcPr>
          <w:p w14:paraId="0EA9B136">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采购要求</w:t>
            </w:r>
          </w:p>
        </w:tc>
        <w:tc>
          <w:tcPr>
            <w:tcW w:w="3719" w:type="pct"/>
            <w:vAlign w:val="center"/>
          </w:tcPr>
          <w:p w14:paraId="1F00243C">
            <w:pPr>
              <w:widowControl/>
              <w:jc w:val="left"/>
              <w:rPr>
                <w:rFonts w:hint="eastAsia" w:ascii="楷体" w:hAnsi="楷体" w:eastAsia="楷体" w:cs="宋体"/>
                <w:b/>
                <w:bCs/>
                <w:color w:val="000000"/>
                <w:kern w:val="0"/>
                <w:sz w:val="24"/>
                <w:szCs w:val="24"/>
                <w:highlight w:val="none"/>
              </w:rPr>
            </w:pPr>
            <w:r>
              <w:rPr>
                <w:rFonts w:hint="eastAsia" w:ascii="楷体" w:hAnsi="楷体" w:eastAsia="楷体" w:cs="宋体"/>
                <w:color w:val="000000"/>
                <w:kern w:val="0"/>
                <w:sz w:val="24"/>
                <w:szCs w:val="24"/>
                <w:highlight w:val="none"/>
              </w:rPr>
              <w:t>投标单位在收到中标通知书</w:t>
            </w:r>
            <w:r>
              <w:rPr>
                <w:rFonts w:hint="eastAsia" w:ascii="楷体" w:hAnsi="楷体" w:eastAsia="楷体" w:cs="宋体"/>
                <w:color w:val="000000"/>
                <w:kern w:val="0"/>
                <w:sz w:val="24"/>
                <w:szCs w:val="24"/>
                <w:highlight w:val="none"/>
                <w:lang w:eastAsia="zh-Hans"/>
              </w:rPr>
              <w:t>后</w:t>
            </w:r>
            <w:r>
              <w:rPr>
                <w:rFonts w:hint="eastAsia" w:ascii="楷体" w:hAnsi="楷体" w:eastAsia="楷体" w:cs="宋体"/>
                <w:color w:val="000000"/>
                <w:kern w:val="0"/>
                <w:sz w:val="24"/>
                <w:szCs w:val="24"/>
                <w:highlight w:val="none"/>
              </w:rPr>
              <w:t xml:space="preserve">，即刻根据招标人任务要求展开后续准备工作。       </w:t>
            </w:r>
          </w:p>
        </w:tc>
      </w:tr>
      <w:tr w14:paraId="6B2F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79283200">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9</w:t>
            </w:r>
          </w:p>
        </w:tc>
        <w:tc>
          <w:tcPr>
            <w:tcW w:w="850" w:type="pct"/>
            <w:vAlign w:val="center"/>
          </w:tcPr>
          <w:p w14:paraId="161334EC">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采购文件的澄清</w:t>
            </w:r>
          </w:p>
        </w:tc>
        <w:tc>
          <w:tcPr>
            <w:tcW w:w="3719" w:type="pct"/>
            <w:vAlign w:val="center"/>
          </w:tcPr>
          <w:p w14:paraId="79E1EC37">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潜在投标人要求对采购文件进行澄清的，均通过数智世界规定方式进行。</w:t>
            </w:r>
          </w:p>
        </w:tc>
      </w:tr>
      <w:tr w14:paraId="0943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2A8F4F8B">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10</w:t>
            </w:r>
          </w:p>
        </w:tc>
        <w:tc>
          <w:tcPr>
            <w:tcW w:w="850" w:type="pct"/>
            <w:vAlign w:val="center"/>
          </w:tcPr>
          <w:p w14:paraId="56EB5D23">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潜在投标人提出澄清</w:t>
            </w:r>
          </w:p>
        </w:tc>
        <w:tc>
          <w:tcPr>
            <w:tcW w:w="3719" w:type="pct"/>
            <w:vAlign w:val="center"/>
          </w:tcPr>
          <w:p w14:paraId="1E60F929">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所有获取了招标文件的潜在投标人与招标人联系提交需要澄清的问题。</w:t>
            </w:r>
          </w:p>
        </w:tc>
      </w:tr>
      <w:tr w14:paraId="150C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430" w:type="pct"/>
            <w:vAlign w:val="center"/>
          </w:tcPr>
          <w:p w14:paraId="7601C6EC">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11</w:t>
            </w:r>
          </w:p>
        </w:tc>
        <w:tc>
          <w:tcPr>
            <w:tcW w:w="850" w:type="pct"/>
            <w:vAlign w:val="center"/>
          </w:tcPr>
          <w:p w14:paraId="3D39433F">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对采购文件的异议</w:t>
            </w:r>
          </w:p>
        </w:tc>
        <w:tc>
          <w:tcPr>
            <w:tcW w:w="3719" w:type="pct"/>
            <w:vAlign w:val="center"/>
          </w:tcPr>
          <w:p w14:paraId="58D596EF">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已领购采购文件的潜在投标人对采购文件（包括对采购文件澄清和修改的内容）有异议的，应当在投标截止时间2日前向招标人或招标机构提出。招标人或招标机构将在自收到异议之日起2</w:t>
            </w:r>
            <w:r>
              <w:rPr>
                <w:rFonts w:hint="eastAsia" w:ascii="楷体" w:hAnsi="楷体" w:eastAsia="楷体" w:cs="宋体"/>
                <w:color w:val="000000"/>
                <w:kern w:val="0"/>
                <w:sz w:val="24"/>
                <w:szCs w:val="24"/>
                <w:highlight w:val="none"/>
                <w:lang w:eastAsia="zh-Hans"/>
              </w:rPr>
              <w:t>个工作</w:t>
            </w:r>
            <w:r>
              <w:rPr>
                <w:rFonts w:hint="eastAsia" w:ascii="楷体" w:hAnsi="楷体" w:eastAsia="楷体" w:cs="宋体"/>
                <w:color w:val="000000"/>
                <w:kern w:val="0"/>
                <w:sz w:val="24"/>
                <w:szCs w:val="24"/>
                <w:highlight w:val="none"/>
              </w:rPr>
              <w:t>日内作出答复。</w:t>
            </w:r>
          </w:p>
        </w:tc>
      </w:tr>
      <w:tr w14:paraId="6ACD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430" w:type="pct"/>
            <w:vAlign w:val="center"/>
          </w:tcPr>
          <w:p w14:paraId="122149A9">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12</w:t>
            </w:r>
          </w:p>
        </w:tc>
        <w:tc>
          <w:tcPr>
            <w:tcW w:w="850" w:type="pct"/>
            <w:vAlign w:val="center"/>
          </w:tcPr>
          <w:p w14:paraId="22139709">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关于报价的要求</w:t>
            </w:r>
          </w:p>
        </w:tc>
        <w:tc>
          <w:tcPr>
            <w:tcW w:w="3719" w:type="pct"/>
            <w:vAlign w:val="center"/>
          </w:tcPr>
          <w:p w14:paraId="64960869">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 xml:space="preserve">标段包件中《报价表》电子表格模板及相关资料，根据要求完成填写 </w:t>
            </w:r>
          </w:p>
        </w:tc>
      </w:tr>
      <w:tr w14:paraId="5199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30" w:type="pct"/>
            <w:vAlign w:val="center"/>
          </w:tcPr>
          <w:p w14:paraId="6E0CDD2A">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13</w:t>
            </w:r>
          </w:p>
        </w:tc>
        <w:tc>
          <w:tcPr>
            <w:tcW w:w="850" w:type="pct"/>
            <w:vAlign w:val="center"/>
          </w:tcPr>
          <w:p w14:paraId="7E8D92CF">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投标有效期</w:t>
            </w:r>
          </w:p>
        </w:tc>
        <w:tc>
          <w:tcPr>
            <w:tcW w:w="3719" w:type="pct"/>
            <w:vAlign w:val="center"/>
          </w:tcPr>
          <w:p w14:paraId="18460776">
            <w:pPr>
              <w:widowControl/>
              <w:jc w:val="left"/>
              <w:rPr>
                <w:rFonts w:hint="eastAsia" w:ascii="楷体" w:hAnsi="楷体" w:eastAsia="楷体" w:cs="宋体"/>
                <w:color w:val="000000"/>
                <w:kern w:val="0"/>
                <w:sz w:val="24"/>
                <w:szCs w:val="24"/>
                <w:highlight w:val="none"/>
              </w:rPr>
            </w:pPr>
            <w:r>
              <w:rPr>
                <w:rFonts w:hint="eastAsia" w:ascii="楷体" w:hAnsi="楷体" w:eastAsia="楷体" w:cs="宋体"/>
                <w:kern w:val="0"/>
                <w:sz w:val="24"/>
                <w:szCs w:val="24"/>
                <w:highlight w:val="none"/>
                <w:u w:val="single"/>
              </w:rPr>
              <w:t>30</w:t>
            </w:r>
            <w:r>
              <w:rPr>
                <w:rFonts w:hint="eastAsia" w:ascii="楷体" w:hAnsi="楷体" w:eastAsia="楷体" w:cs="宋体"/>
                <w:kern w:val="0"/>
                <w:sz w:val="24"/>
                <w:szCs w:val="24"/>
                <w:highlight w:val="none"/>
              </w:rPr>
              <w:t>日历天（从投标截止日算起）</w:t>
            </w:r>
          </w:p>
        </w:tc>
      </w:tr>
      <w:tr w14:paraId="74D5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75E9B734">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14</w:t>
            </w:r>
          </w:p>
        </w:tc>
        <w:tc>
          <w:tcPr>
            <w:tcW w:w="850" w:type="pct"/>
            <w:vAlign w:val="center"/>
          </w:tcPr>
          <w:p w14:paraId="22263503">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投标截止时间</w:t>
            </w:r>
          </w:p>
        </w:tc>
        <w:tc>
          <w:tcPr>
            <w:tcW w:w="3719" w:type="pct"/>
            <w:vAlign w:val="center"/>
          </w:tcPr>
          <w:p w14:paraId="2ECC75F4">
            <w:pPr>
              <w:widowControl/>
              <w:jc w:val="left"/>
              <w:rPr>
                <w:rFonts w:hint="eastAsia" w:ascii="楷体" w:hAnsi="楷体" w:eastAsia="楷体" w:cs="宋体"/>
                <w:kern w:val="0"/>
                <w:sz w:val="24"/>
                <w:szCs w:val="24"/>
                <w:highlight w:val="none"/>
                <w:u w:val="single"/>
              </w:rPr>
            </w:pPr>
            <w:r>
              <w:rPr>
                <w:rFonts w:hint="eastAsia" w:ascii="楷体" w:hAnsi="楷体" w:eastAsia="楷体" w:cs="宋体"/>
                <w:color w:val="000000"/>
                <w:kern w:val="0"/>
                <w:sz w:val="24"/>
                <w:szCs w:val="24"/>
                <w:highlight w:val="none"/>
              </w:rPr>
              <w:t>2026年3月</w:t>
            </w:r>
            <w:r>
              <w:rPr>
                <w:rFonts w:hint="eastAsia" w:ascii="楷体" w:hAnsi="楷体" w:eastAsia="楷体" w:cs="宋体"/>
                <w:color w:val="000000"/>
                <w:kern w:val="0"/>
                <w:sz w:val="24"/>
                <w:szCs w:val="24"/>
                <w:highlight w:val="none"/>
                <w:lang w:val="en-US" w:eastAsia="zh-CN"/>
              </w:rPr>
              <w:t>13</w:t>
            </w:r>
            <w:r>
              <w:rPr>
                <w:rFonts w:hint="eastAsia" w:ascii="楷体" w:hAnsi="楷体" w:eastAsia="楷体" w:cs="宋体"/>
                <w:color w:val="000000"/>
                <w:kern w:val="0"/>
                <w:sz w:val="24"/>
                <w:szCs w:val="24"/>
                <w:highlight w:val="none"/>
              </w:rPr>
              <w:t>日17：00前</w:t>
            </w:r>
          </w:p>
        </w:tc>
      </w:tr>
      <w:tr w14:paraId="2E56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4BC655BA">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15</w:t>
            </w:r>
          </w:p>
        </w:tc>
        <w:tc>
          <w:tcPr>
            <w:tcW w:w="850" w:type="pct"/>
            <w:vAlign w:val="center"/>
          </w:tcPr>
          <w:p w14:paraId="12D3B071">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评标方法</w:t>
            </w:r>
          </w:p>
        </w:tc>
        <w:tc>
          <w:tcPr>
            <w:tcW w:w="3719" w:type="pct"/>
            <w:vAlign w:val="center"/>
          </w:tcPr>
          <w:p w14:paraId="5E2499CB">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1.开标时，先评价供应商资质是否合格，再开技术标，最后开价格标，对资质不合格或不满足招标项目技术标关键条件要求的的供应商予以剔除，不参与后续价格标的评选，详细记录剔除原因并由</w:t>
            </w:r>
            <w:r>
              <w:rPr>
                <w:rFonts w:ascii="楷体" w:hAnsi="楷体" w:eastAsia="楷体" w:cs="宋体"/>
                <w:color w:val="000000"/>
                <w:kern w:val="0"/>
                <w:sz w:val="24"/>
                <w:szCs w:val="24"/>
                <w:highlight w:val="none"/>
              </w:rPr>
              <w:t>评审委员会</w:t>
            </w:r>
            <w:r>
              <w:rPr>
                <w:rFonts w:hint="eastAsia" w:ascii="楷体" w:hAnsi="楷体" w:eastAsia="楷体" w:cs="宋体"/>
                <w:color w:val="000000"/>
                <w:kern w:val="0"/>
                <w:sz w:val="24"/>
                <w:szCs w:val="24"/>
                <w:highlight w:val="none"/>
              </w:rPr>
              <w:t>人员共同签字确认。开标内容应当完整记录，</w:t>
            </w:r>
            <w:r>
              <w:rPr>
                <w:rFonts w:ascii="楷体" w:hAnsi="楷体" w:eastAsia="楷体" w:cs="宋体"/>
                <w:color w:val="000000"/>
                <w:kern w:val="0"/>
                <w:sz w:val="24"/>
                <w:szCs w:val="24"/>
                <w:highlight w:val="none"/>
              </w:rPr>
              <w:t>评审委员会</w:t>
            </w:r>
            <w:r>
              <w:rPr>
                <w:rFonts w:hint="eastAsia" w:ascii="楷体" w:hAnsi="楷体" w:eastAsia="楷体" w:cs="宋体"/>
                <w:color w:val="000000"/>
                <w:kern w:val="0"/>
                <w:sz w:val="24"/>
                <w:szCs w:val="24"/>
                <w:highlight w:val="none"/>
              </w:rPr>
              <w:t>成员在开标记录上签字确认，并存档备查。投标报价少于3家的，由评审委员会组织重新招标；</w:t>
            </w:r>
          </w:p>
          <w:p w14:paraId="3D2CEA2C">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2.评审委员会成员按照采购文件评价标准进行评分；</w:t>
            </w:r>
          </w:p>
          <w:p w14:paraId="7F206343">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3. 当出现投标人报价结果未达成评审委员会目标价格的情况，招标人有权进入议价流程或组织重新采购；</w:t>
            </w:r>
          </w:p>
          <w:p w14:paraId="188CF3E8">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4.在项目评标过程中</w:t>
            </w:r>
            <w:r>
              <w:rPr>
                <w:rFonts w:hint="eastAsia" w:ascii="楷体" w:hAnsi="楷体" w:eastAsia="楷体" w:cs="宋体"/>
                <w:color w:val="000000"/>
                <w:kern w:val="0"/>
                <w:sz w:val="24"/>
                <w:szCs w:val="24"/>
                <w:highlight w:val="none"/>
                <w:lang w:eastAsia="zh-Hans"/>
              </w:rPr>
              <w:t>投标人</w:t>
            </w:r>
            <w:r>
              <w:rPr>
                <w:rFonts w:hint="eastAsia" w:ascii="楷体" w:hAnsi="楷体" w:eastAsia="楷体" w:cs="宋体"/>
                <w:color w:val="000000"/>
                <w:kern w:val="0"/>
                <w:sz w:val="24"/>
                <w:szCs w:val="24"/>
                <w:highlight w:val="none"/>
              </w:rPr>
              <w:t>不满足必备项技术标要求</w:t>
            </w:r>
            <w:r>
              <w:rPr>
                <w:rFonts w:hint="eastAsia" w:ascii="楷体" w:hAnsi="楷体" w:eastAsia="楷体" w:cs="宋体"/>
                <w:color w:val="000000"/>
                <w:kern w:val="0"/>
                <w:sz w:val="24"/>
                <w:szCs w:val="24"/>
                <w:highlight w:val="none"/>
                <w:lang w:eastAsia="zh-Hans"/>
              </w:rPr>
              <w:t>的</w:t>
            </w:r>
            <w:r>
              <w:rPr>
                <w:rFonts w:hint="eastAsia" w:ascii="楷体" w:hAnsi="楷体" w:eastAsia="楷体" w:cs="宋体"/>
                <w:color w:val="000000"/>
                <w:kern w:val="0"/>
                <w:sz w:val="24"/>
                <w:szCs w:val="24"/>
                <w:highlight w:val="none"/>
              </w:rPr>
              <w:t>，失去竞标资格；</w:t>
            </w:r>
          </w:p>
          <w:p w14:paraId="7275DAC7">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5、价格评审时以供应商提供的报价表文件中“报价金额”后面的数字为最终评标依据。</w:t>
            </w:r>
          </w:p>
        </w:tc>
      </w:tr>
      <w:tr w14:paraId="13947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4BE5BA8D">
            <w:pPr>
              <w:widowControl/>
              <w:jc w:val="center"/>
              <w:rPr>
                <w:rFonts w:hint="default" w:ascii="楷体" w:hAnsi="楷体" w:eastAsia="楷体" w:cs="宋体"/>
                <w:color w:val="000000"/>
                <w:kern w:val="0"/>
                <w:sz w:val="24"/>
                <w:szCs w:val="24"/>
                <w:highlight w:val="none"/>
                <w:lang w:val="en-US" w:eastAsia="zh-CN"/>
              </w:rPr>
            </w:pPr>
            <w:bookmarkStart w:id="77" w:name="_Toc25851"/>
            <w:bookmarkStart w:id="78" w:name="_Toc31876"/>
            <w:bookmarkStart w:id="79" w:name="_Toc12113"/>
            <w:bookmarkStart w:id="80" w:name="_Toc87176388"/>
            <w:r>
              <w:rPr>
                <w:rFonts w:hint="eastAsia" w:ascii="楷体" w:hAnsi="楷体" w:eastAsia="楷体" w:cs="宋体"/>
                <w:color w:val="000000"/>
                <w:kern w:val="0"/>
                <w:sz w:val="24"/>
                <w:szCs w:val="24"/>
                <w:highlight w:val="none"/>
                <w:lang w:val="en-US" w:eastAsia="zh-CN"/>
              </w:rPr>
              <w:t>16</w:t>
            </w:r>
          </w:p>
        </w:tc>
        <w:tc>
          <w:tcPr>
            <w:tcW w:w="850" w:type="pct"/>
            <w:vAlign w:val="center"/>
          </w:tcPr>
          <w:p w14:paraId="1BBB84D9">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lang w:val="en-US" w:eastAsia="zh-CN"/>
              </w:rPr>
              <w:t>时间</w:t>
            </w:r>
            <w:r>
              <w:rPr>
                <w:rFonts w:hint="eastAsia" w:ascii="楷体" w:hAnsi="楷体" w:eastAsia="楷体" w:cs="宋体"/>
                <w:color w:val="000000"/>
                <w:kern w:val="0"/>
                <w:sz w:val="24"/>
                <w:szCs w:val="24"/>
                <w:highlight w:val="none"/>
              </w:rPr>
              <w:t>计划</w:t>
            </w:r>
          </w:p>
        </w:tc>
        <w:tc>
          <w:tcPr>
            <w:tcW w:w="3719" w:type="pct"/>
            <w:vAlign w:val="center"/>
          </w:tcPr>
          <w:p w14:paraId="27C4559E">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2026年3月</w:t>
            </w:r>
            <w:r>
              <w:rPr>
                <w:rFonts w:hint="eastAsia" w:ascii="楷体" w:hAnsi="楷体" w:eastAsia="楷体" w:cs="宋体"/>
                <w:color w:val="000000"/>
                <w:kern w:val="0"/>
                <w:sz w:val="24"/>
                <w:szCs w:val="24"/>
                <w:highlight w:val="none"/>
                <w:lang w:val="en-US" w:eastAsia="zh-CN"/>
              </w:rPr>
              <w:t>6</w:t>
            </w:r>
            <w:r>
              <w:rPr>
                <w:rFonts w:hint="eastAsia" w:ascii="楷体" w:hAnsi="楷体" w:eastAsia="楷体" w:cs="宋体"/>
                <w:color w:val="000000"/>
                <w:kern w:val="0"/>
                <w:sz w:val="24"/>
                <w:szCs w:val="24"/>
                <w:highlight w:val="none"/>
              </w:rPr>
              <w:t>日启动招标（线上线下同步）；</w:t>
            </w:r>
          </w:p>
          <w:p w14:paraId="1FAC646A">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2026年3月</w:t>
            </w:r>
            <w:r>
              <w:rPr>
                <w:rFonts w:hint="eastAsia" w:ascii="楷体" w:hAnsi="楷体" w:eastAsia="楷体" w:cs="宋体"/>
                <w:color w:val="000000"/>
                <w:kern w:val="0"/>
                <w:sz w:val="24"/>
                <w:szCs w:val="24"/>
                <w:highlight w:val="none"/>
                <w:lang w:val="en-US" w:eastAsia="zh-CN"/>
              </w:rPr>
              <w:t>10</w:t>
            </w:r>
            <w:r>
              <w:rPr>
                <w:rFonts w:hint="eastAsia" w:ascii="楷体" w:hAnsi="楷体" w:eastAsia="楷体" w:cs="宋体"/>
                <w:color w:val="000000"/>
                <w:kern w:val="0"/>
                <w:sz w:val="24"/>
                <w:szCs w:val="24"/>
                <w:highlight w:val="none"/>
              </w:rPr>
              <w:t>日招标答疑（统一线上）；</w:t>
            </w:r>
          </w:p>
          <w:p w14:paraId="0365F79A">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2026年3月1</w:t>
            </w:r>
            <w:r>
              <w:rPr>
                <w:rFonts w:hint="eastAsia" w:ascii="楷体" w:hAnsi="楷体" w:eastAsia="楷体" w:cs="宋体"/>
                <w:color w:val="000000"/>
                <w:kern w:val="0"/>
                <w:sz w:val="24"/>
                <w:szCs w:val="24"/>
                <w:highlight w:val="none"/>
                <w:lang w:val="en-US" w:eastAsia="zh-CN"/>
              </w:rPr>
              <w:t>3</w:t>
            </w:r>
            <w:r>
              <w:rPr>
                <w:rFonts w:hint="eastAsia" w:ascii="楷体" w:hAnsi="楷体" w:eastAsia="楷体" w:cs="宋体"/>
                <w:color w:val="000000"/>
                <w:kern w:val="0"/>
                <w:sz w:val="24"/>
                <w:szCs w:val="24"/>
                <w:highlight w:val="none"/>
              </w:rPr>
              <w:t>日投标截止；</w:t>
            </w:r>
          </w:p>
          <w:p w14:paraId="48B9630A">
            <w:pPr>
              <w:widowControl/>
              <w:jc w:val="left"/>
              <w:rPr>
                <w:rFonts w:hint="eastAsia" w:ascii="楷体" w:hAnsi="楷体" w:eastAsia="楷体" w:cs="宋体"/>
                <w:color w:val="000000"/>
                <w:kern w:val="0"/>
                <w:sz w:val="24"/>
                <w:szCs w:val="24"/>
                <w:highlight w:val="none"/>
                <w:lang w:eastAsia="zh-CN"/>
              </w:rPr>
            </w:pPr>
            <w:r>
              <w:rPr>
                <w:rFonts w:hint="eastAsia" w:ascii="楷体" w:hAnsi="楷体" w:eastAsia="楷体" w:cs="宋体"/>
                <w:color w:val="000000"/>
                <w:kern w:val="0"/>
                <w:sz w:val="24"/>
                <w:szCs w:val="24"/>
                <w:highlight w:val="none"/>
              </w:rPr>
              <w:t>2026年3月17日</w:t>
            </w:r>
            <w:r>
              <w:rPr>
                <w:rFonts w:hint="eastAsia" w:ascii="楷体" w:hAnsi="楷体" w:eastAsia="楷体" w:cs="宋体"/>
                <w:color w:val="000000"/>
                <w:kern w:val="0"/>
                <w:sz w:val="24"/>
                <w:szCs w:val="24"/>
                <w:highlight w:val="none"/>
                <w:lang w:val="en-US" w:eastAsia="zh-CN"/>
              </w:rPr>
              <w:t>收取投标快递</w:t>
            </w:r>
            <w:r>
              <w:rPr>
                <w:rFonts w:hint="eastAsia" w:ascii="楷体" w:hAnsi="楷体" w:eastAsia="楷体" w:cs="宋体"/>
                <w:color w:val="000000"/>
                <w:kern w:val="0"/>
                <w:sz w:val="24"/>
                <w:szCs w:val="24"/>
                <w:highlight w:val="none"/>
              </w:rPr>
              <w:t>截止</w:t>
            </w:r>
            <w:r>
              <w:rPr>
                <w:rFonts w:hint="eastAsia" w:ascii="楷体" w:hAnsi="楷体" w:eastAsia="楷体" w:cs="宋体"/>
                <w:color w:val="000000"/>
                <w:kern w:val="0"/>
                <w:sz w:val="24"/>
                <w:szCs w:val="24"/>
                <w:highlight w:val="none"/>
                <w:lang w:eastAsia="zh-CN"/>
              </w:rPr>
              <w:t>；</w:t>
            </w:r>
          </w:p>
          <w:p w14:paraId="7121CB7F">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2026年3月</w:t>
            </w:r>
            <w:r>
              <w:rPr>
                <w:rFonts w:hint="eastAsia" w:ascii="楷体" w:hAnsi="楷体" w:eastAsia="楷体" w:cs="宋体"/>
                <w:color w:val="000000"/>
                <w:kern w:val="0"/>
                <w:sz w:val="24"/>
                <w:szCs w:val="24"/>
                <w:highlight w:val="none"/>
                <w:lang w:val="en-US" w:eastAsia="zh-CN"/>
              </w:rPr>
              <w:t>18</w:t>
            </w:r>
            <w:r>
              <w:rPr>
                <w:rFonts w:hint="eastAsia" w:ascii="楷体" w:hAnsi="楷体" w:eastAsia="楷体" w:cs="宋体"/>
                <w:color w:val="000000"/>
                <w:kern w:val="0"/>
                <w:sz w:val="24"/>
                <w:szCs w:val="24"/>
                <w:highlight w:val="none"/>
              </w:rPr>
              <w:t>日完成开标；</w:t>
            </w:r>
          </w:p>
        </w:tc>
      </w:tr>
    </w:tbl>
    <w:p w14:paraId="59B9404D">
      <w:pPr>
        <w:pStyle w:val="3"/>
        <w:spacing w:before="156"/>
        <w:jc w:val="left"/>
        <w:rPr>
          <w:rFonts w:hint="eastAsia" w:ascii="楷体" w:hAnsi="楷体" w:eastAsia="楷体"/>
          <w:highlight w:val="none"/>
        </w:rPr>
      </w:pPr>
      <w:r>
        <w:rPr>
          <w:rFonts w:hint="eastAsia" w:ascii="楷体" w:hAnsi="楷体" w:eastAsia="楷体"/>
          <w:highlight w:val="none"/>
        </w:rPr>
        <w:t>三、供应商廉洁诚信须知</w:t>
      </w:r>
      <w:bookmarkEnd w:id="77"/>
      <w:bookmarkEnd w:id="78"/>
      <w:bookmarkEnd w:id="79"/>
      <w:bookmarkEnd w:id="80"/>
    </w:p>
    <w:p w14:paraId="32E4B13A">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诚信守诺、廉洁守法、公开公平是</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与合作伙伴真诚合作，共同可持续健康发展的基础。作为合作伙伴，承诺与上海数智世界工业科技集团共同预防和制止腐败和商业贿赂等不正当行为的发生。需供应商正式声明和承诺如下：</w:t>
      </w:r>
    </w:p>
    <w:p w14:paraId="0A6FBD17">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一、供应商需承诺，严格遵守法律、法规及双方合同约定禁止一切形式不合法、不正当的商业合作，在双方业务往来过程中，禁止以任何名义给予</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任何人员及其亲属、朋友或其它有特定利益关系的人员直接或间接的贿赂、回扣、提成、或变相的以任何方式给予好处或利益。</w:t>
      </w:r>
    </w:p>
    <w:p w14:paraId="7BB5C59D">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包括但不限于：</w:t>
      </w:r>
    </w:p>
    <w:p w14:paraId="076B02F6">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w:t>
      </w:r>
      <w:r>
        <w:rPr>
          <w:rFonts w:ascii="楷体" w:hAnsi="楷体" w:eastAsia="楷体" w:cs="Arial"/>
          <w:bCs/>
          <w:sz w:val="24"/>
          <w:szCs w:val="24"/>
          <w:highlight w:val="none"/>
        </w:rPr>
        <w:t xml:space="preserve"> </w:t>
      </w:r>
      <w:r>
        <w:rPr>
          <w:rFonts w:hint="eastAsia" w:ascii="楷体" w:hAnsi="楷体" w:eastAsia="楷体" w:cs="Arial"/>
          <w:bCs/>
          <w:sz w:val="24"/>
          <w:szCs w:val="24"/>
          <w:highlight w:val="none"/>
          <w:lang w:eastAsia="zh-Hans"/>
        </w:rPr>
        <w:t>禁止</w:t>
      </w:r>
      <w:r>
        <w:rPr>
          <w:rFonts w:hint="eastAsia" w:ascii="楷体" w:hAnsi="楷体" w:eastAsia="楷体" w:cs="Arial"/>
          <w:bCs/>
          <w:sz w:val="24"/>
          <w:szCs w:val="24"/>
          <w:highlight w:val="none"/>
        </w:rPr>
        <w:t>进行不恰当的礼品馈赠，包括但不限于现金、有价证券及支付凭证、通讯器材、交通工具、非低值文化用品以及其他贵重物品等。</w:t>
      </w:r>
    </w:p>
    <w:p w14:paraId="2F5D52A3">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2.不提供不恰当的商务款待：包括但不限于奢侈宴请、组织</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人员、其他相关方人员参加旅游、高消费娱乐等活动，或其他为法律所禁止，或者为</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相关客户以及相关政府部门的规章、合同所禁止的商务款待。</w:t>
      </w:r>
    </w:p>
    <w:p w14:paraId="2A3804B1">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3.不利用代理商或中间人贿赂</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人员。</w:t>
      </w:r>
    </w:p>
    <w:p w14:paraId="4218CD19">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4.不与</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员工或其亲属发生任何借款／贷款往来。</w:t>
      </w:r>
    </w:p>
    <w:p w14:paraId="4C8106E8">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5.不实施法律禁止的其他贿赂行为。 </w:t>
      </w:r>
    </w:p>
    <w:p w14:paraId="0CF2CF6C">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二、供应商需承诺不聘用</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及其亲属担任贵司或者贵司关联公司的法定代表人/负责人、董事、监事、高级管理人员、雇员、顾问，或为贵司或贵司关联公司的实际控制人（指虽不是该公司的雇员，但通过投资关系、协议或者其他安排，能够实际支配该公司行为的人）。</w:t>
      </w:r>
    </w:p>
    <w:p w14:paraId="5A0C0D3E">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三、供应商需承诺没有</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运员工及亲属直接或间接持有贵司、贵司关联公司及上述公司的法定代表人/负责人、实际控制人、董事、监事、高级管理人员、雇员所设立或实际控制的任何企业的非上市流通股份（无论是显名还是隐名股东）。</w:t>
      </w:r>
    </w:p>
    <w:p w14:paraId="1B64E768">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四、供应商需承诺没有</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员工及亲属与贵司、贵司关联公司及上述公司的法定代表人/负责人、实际控制人、董事、监事、高级管理人员、雇员共同设立公司或共同实际控制任何企业。</w:t>
      </w:r>
    </w:p>
    <w:p w14:paraId="090E3922">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五、供应商需承诺没有与</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员工或其家属担任法定代表人/负责人、董事、监事、高级管理人员的企业进行业务（指与上海数智世界工业科技集团主业相同的物流业务）合作的情况。</w:t>
      </w:r>
    </w:p>
    <w:p w14:paraId="01B2713F">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六、供应商需承诺如发生上述第一项至第五项的情形，贵司应提前向</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进行报备并详细说明情况，坚决杜绝不符合市场规则的交易，或通过任何方式对员工关联企业进行利益输送。贵司同意</w:t>
      </w:r>
      <w:bookmarkStart w:id="81" w:name="_Hlk117253341"/>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可根据实际情况评估利益受影响程度，并有权自行决定立即终止与贵司的合作</w:t>
      </w:r>
      <w:bookmarkEnd w:id="81"/>
      <w:r>
        <w:rPr>
          <w:rFonts w:hint="eastAsia" w:ascii="楷体" w:hAnsi="楷体" w:eastAsia="楷体" w:cs="Arial"/>
          <w:bCs/>
          <w:sz w:val="24"/>
          <w:szCs w:val="24"/>
          <w:highlight w:val="none"/>
        </w:rPr>
        <w:t>，且不构成违约。</w:t>
      </w:r>
    </w:p>
    <w:p w14:paraId="35AF3197">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七、供应商需承诺</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可定期向贵司进行回访，了解本承诺书执行情况以及</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员工的廉洁行为遵守情况，贵司承诺充分配合，如实提供相关信息及说明。如果发现贵司对</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员工或代理行贿，或存在其他违反本承诺书的情形，</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有权对贵司以及相关公司雇员或者代理采取适当的法律措施，并且立即终止与贵司的合作，且不构成违约。同时，贵司同意赔偿</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因此受到的全部损失。</w:t>
      </w:r>
    </w:p>
    <w:p w14:paraId="1D0E2E13">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八、供应商需承诺对</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员工或代理向贵司索贿，收受贵司贿赂，或存在其他违反本承诺书的情形或其他腐败行为的，承诺配合</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进行调查并提供证据和详细说明。供应商需承诺同意，如拒绝配合或消极怠于配合，</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有权立即终止与贵司的合作，且不构成违约。同时，</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有权追索因此受到的全部损失，并无须为此给予贵司任何补偿或赔偿。</w:t>
      </w:r>
    </w:p>
    <w:p w14:paraId="440A4C92">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九、如发生本承诺书所列明的情形，供应商需承诺及时按照下述联系方式向</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举报，并提供可证实的信息和线索。</w:t>
      </w:r>
    </w:p>
    <w:p w14:paraId="5A284352">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公司举报邮箱：xuxinyi@diwgroup.net </w:t>
      </w:r>
    </w:p>
    <w:p w14:paraId="55AB892A">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十、供应商需承诺，如发生违反本承诺书的行为，上海数智世界工业科技集团可对贵司进行邮件通报并终止与贵司合作，相关业务损失由贵司自行承担。如果情节严重的，相关人员将移送司法机关处理。</w:t>
      </w:r>
    </w:p>
    <w:p w14:paraId="30B9EB12">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十一、供应商需承诺贵司的管理层</w:t>
      </w:r>
      <w:r>
        <w:rPr>
          <w:rFonts w:hint="eastAsia" w:ascii="楷体" w:hAnsi="楷体" w:eastAsia="楷体" w:cs="Arial"/>
          <w:bCs/>
          <w:sz w:val="24"/>
          <w:szCs w:val="24"/>
          <w:highlight w:val="none"/>
          <w:lang w:eastAsia="zh-Hans"/>
        </w:rPr>
        <w:t>以及</w:t>
      </w:r>
      <w:r>
        <w:rPr>
          <w:rFonts w:hint="eastAsia" w:ascii="楷体" w:hAnsi="楷体" w:eastAsia="楷体" w:cs="Arial"/>
          <w:bCs/>
          <w:sz w:val="24"/>
          <w:szCs w:val="24"/>
          <w:highlight w:val="none"/>
        </w:rPr>
        <w:t>与上海数智世界工业科技集团业务相关的人员已了解和知悉本承诺书的内容，并承诺严格遵守执行。供应商在与上海数智世界工业科技集团人员洽谈商定合作之前已充分知悉和认可本承诺书的全部内容，并愿意承担违反上述承诺所带来的一切后果。</w:t>
      </w:r>
    </w:p>
    <w:p w14:paraId="677BF112">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十二、供应商需承诺：主动举报上海数智世界工业科技集团员工或其它合作伙伴的腐败或贿赂行为，举报者自身存在违反以上约定行为的，但经核实无误并能够减少上海数智世界工业科技集团损失的，上海数智世界工业科技集团将保护举报人员或公司权益，可以视情节减轻处罚。</w:t>
      </w:r>
    </w:p>
    <w:p w14:paraId="18DC3016">
      <w:pPr>
        <w:pStyle w:val="3"/>
        <w:spacing w:before="156"/>
        <w:jc w:val="left"/>
        <w:rPr>
          <w:rFonts w:hint="eastAsia" w:ascii="楷体" w:hAnsi="楷体" w:eastAsia="楷体"/>
          <w:highlight w:val="none"/>
        </w:rPr>
      </w:pPr>
      <w:bookmarkStart w:id="82" w:name="_Toc589705862"/>
      <w:bookmarkStart w:id="83" w:name="_Toc13128"/>
      <w:bookmarkStart w:id="84" w:name="_Toc6225"/>
      <w:bookmarkStart w:id="85" w:name="_Toc1211"/>
      <w:r>
        <w:rPr>
          <w:rFonts w:hint="eastAsia" w:ascii="楷体" w:hAnsi="楷体" w:eastAsia="楷体"/>
          <w:highlight w:val="none"/>
        </w:rPr>
        <w:t>四、保密及不披露协议</w:t>
      </w:r>
      <w:bookmarkEnd w:id="82"/>
      <w:bookmarkEnd w:id="83"/>
      <w:bookmarkEnd w:id="84"/>
      <w:bookmarkEnd w:id="85"/>
    </w:p>
    <w:p w14:paraId="522D68B9">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本保密及不披露协议（“本协议”）由挂标日启生效，供应商投标默认承诺本协议：</w:t>
      </w:r>
    </w:p>
    <w:p w14:paraId="33176BE8">
      <w:pPr>
        <w:spacing w:line="360" w:lineRule="auto"/>
        <w:rPr>
          <w:rFonts w:hint="eastAsia" w:ascii="楷体" w:hAnsi="楷体" w:eastAsia="楷体" w:cs="Arial"/>
          <w:bCs/>
          <w:sz w:val="24"/>
          <w:szCs w:val="24"/>
          <w:highlight w:val="none"/>
          <w:lang w:eastAsia="zh-Hans"/>
        </w:rPr>
      </w:pPr>
      <w:r>
        <w:rPr>
          <w:rFonts w:hint="eastAsia" w:ascii="楷体" w:hAnsi="楷体" w:eastAsia="楷体" w:cs="Arial"/>
          <w:bCs/>
          <w:sz w:val="24"/>
          <w:szCs w:val="24"/>
          <w:highlight w:val="none"/>
        </w:rPr>
        <w:t xml:space="preserve">甲方（下称披露方）： </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宋体"/>
          <w:color w:val="000000"/>
          <w:kern w:val="0"/>
          <w:sz w:val="24"/>
          <w:szCs w:val="24"/>
          <w:highlight w:val="none"/>
          <w:lang w:eastAsia="zh-Hans"/>
        </w:rPr>
        <w:t>有限公司</w:t>
      </w:r>
    </w:p>
    <w:p w14:paraId="24936FE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乙方（下称接收方）： 投标报价供应商</w:t>
      </w:r>
    </w:p>
    <w:p w14:paraId="4739F6B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鉴于，披露方（招标方）是一家棉纺企业，在一个竞争激烈的行业中开展经营，其业务、技术、营销等方面的信息均属专有、秘密、敏感性及高度保密的信息。</w:t>
      </w:r>
    </w:p>
    <w:p w14:paraId="15B9E076">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鉴于，接收方是</w:t>
      </w:r>
      <w:r>
        <w:rPr>
          <w:rFonts w:hint="eastAsia" w:ascii="楷体" w:hAnsi="楷体" w:eastAsia="楷体" w:cs="Arial"/>
          <w:bCs/>
          <w:sz w:val="24"/>
          <w:szCs w:val="24"/>
          <w:highlight w:val="none"/>
          <w:lang w:eastAsia="zh-Hans"/>
        </w:rPr>
        <w:t>物流服务</w:t>
      </w:r>
      <w:r>
        <w:rPr>
          <w:rFonts w:hint="eastAsia" w:ascii="楷体" w:hAnsi="楷体" w:eastAsia="楷体" w:cs="Arial"/>
          <w:bCs/>
          <w:sz w:val="24"/>
          <w:szCs w:val="24"/>
          <w:highlight w:val="none"/>
        </w:rPr>
        <w:t>的供应商。</w:t>
      </w:r>
    </w:p>
    <w:p w14:paraId="16E4C186">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鉴于，双方有意建立业务关系，因此，披露方（定义见下文）会向接收方提供某些保密信息，包括但不限于专有的创意、方法、创新工艺、产品、服务、数据库、知识产权、有关上述目的财务信息、经营信息以及双方认为属于专有和保密的某些其他信息，且双方进一步开展业务关系的前提条件是签署一项协议，对上述保密信息的披露和使用加以限制。</w:t>
      </w:r>
    </w:p>
    <w:p w14:paraId="60E0DD1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有鉴于此，作为本协议所载相互承诺的对价，双方协议如下：</w:t>
      </w:r>
    </w:p>
    <w:p w14:paraId="2D8D8F2C">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1、定义</w:t>
      </w:r>
    </w:p>
    <w:p w14:paraId="2ABA5517">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“保密信息”指披露方向接收方或其任何董事、高级职员、雇员、专业顾问或法律顾问（合称“有关代表”）披露或提供的所有披露方的非公开信息，不论是以何等形式或方式加以披露的，并且应包括但不限于：</w:t>
      </w:r>
    </w:p>
    <w:p w14:paraId="495F1F7B">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 与披露方的商业秘密（包括适用法律定义为“商业秘密”的一切信息）有关的一切信息；</w:t>
      </w:r>
    </w:p>
    <w:p w14:paraId="6147A08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 一切科学、技术、业务、财务、客户信息或营销方面的数据和信息；</w:t>
      </w:r>
    </w:p>
    <w:p w14:paraId="13E5412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(iii) 与产品研发、设计或配方、产品配制、制造、试验或测试、发明、图纸、工程或其他具有著作权的原创作品有关的信息；</w:t>
      </w:r>
    </w:p>
    <w:p w14:paraId="5D00D87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(iv) 与披露方自行或他人代表其开发或修改的软件（包括目标代码和源代码）以及数据库有关的一切信息；</w:t>
      </w:r>
    </w:p>
    <w:p w14:paraId="047D5DF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(v) 与披露方的供应商、供货商、客户、营销代表及任何有关代表有关的一切信息；</w:t>
      </w:r>
    </w:p>
    <w:p w14:paraId="588BB06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(vi) 与“诀窍”有关的一切信息，以及被视为具有专有或保密性质的其他信息,以及</w:t>
      </w:r>
    </w:p>
    <w:p w14:paraId="01FBB5D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(vii) 接收方任何一次到访披露方的设施期间所了解到的与上文 (i) 至 (vi) 款有关的一切信息。</w:t>
      </w:r>
    </w:p>
    <w:p w14:paraId="307CB39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双方承认，除非披露方书面声明其提供的信息不受本协议的约束，否则，披露方向接收方提供的任何信息或资料均将被视为保密信息，并且受本协议的约束。</w:t>
      </w:r>
    </w:p>
    <w:p w14:paraId="3B021BD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“保密信息”一词不包括下列保密信息中的任何部分：</w:t>
      </w:r>
    </w:p>
    <w:p w14:paraId="5AF40217">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 该等保密信息在目前或将来并非因接收方违反其在本协议项下的义务而为公众所知；</w:t>
      </w:r>
    </w:p>
    <w:p w14:paraId="5E01228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 接收方能够以其存档的书面文件作为证据，证明该等保密信息在披露方最早一次披露之前早已为接收方所掌握；</w:t>
      </w:r>
    </w:p>
    <w:p w14:paraId="6C960CF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(iii) 该等保密信息是接收方自不对披露方负有保密义务的某一第三方处正当获得的；</w:t>
      </w:r>
    </w:p>
    <w:p w14:paraId="537BAECD">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(iv) 该等保密信息是由接收方独立开发的，且负责开发之人并不能接触到保密信息,或者</w:t>
      </w:r>
    </w:p>
    <w:p w14:paraId="4AEDD74C">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(v) 该等保密信息是接收方在收到披露方的书面允许后加以披露的。</w:t>
      </w:r>
    </w:p>
    <w:p w14:paraId="21695CD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(c) 披露方的任何商业秘密还将享有与商业秘密有关的适用法律及任何其他适用法律项下的一切保护和权益，[包括《中华人民共和国反不正当竞争法》和《关于禁止侵犯商业秘密行为的若干规定》及其不时修订的版本]。如果披露方视为商业秘密的任何信息为本协议之目的被某一具有适当管辖权的法院认定为不属于商业秘密，则除非该等信息符合第1(b)条所述的例外情形，否则该等信息为本协议之目的将被视为保密信息。</w:t>
      </w:r>
    </w:p>
    <w:p w14:paraId="621C9DD1">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(d) “披露方”指招标方公司及其关联方。</w:t>
      </w:r>
    </w:p>
    <w:p w14:paraId="7EDF4DB6">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(e) “营销代表”指[与招标方公司或其任何关联方已订立独立营销代表协议的个人]。</w:t>
      </w:r>
    </w:p>
    <w:p w14:paraId="57B549C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2、保密义务</w:t>
      </w:r>
    </w:p>
    <w:p w14:paraId="60DD6C6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接收方同意对任何保密信息加以保密，未经披露方事先书面同意，不得向任何第三方公布或披露任何保密信息。</w:t>
      </w:r>
    </w:p>
    <w:p w14:paraId="299596D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接收方同意采用保护其自有机密信息时所采用的同等程度的注意（且在任何情况下均不得低于合理程度的注意）来确保保密信息的机密性。</w:t>
      </w:r>
    </w:p>
    <w:p w14:paraId="6AC7CE7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(c) 接收方同意，保密信息以及双方之间业务关系与相关的保密讨论、交流的存在和内容的披露对象仅限于有必要了解相关信息的接收方的有关代表（“额外人员”），条件是额外人员将被视为与接收方一样，同样适用本协议规定的义务，且接收方将对任何额外人员违反任何该等义务的行为负责，如同其为接收方自身的违约行为一样，并且，进一步的条件是：</w:t>
      </w:r>
    </w:p>
    <w:p w14:paraId="0E49168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(i) 该等额外人员对接收方负有一般保密义务，且该义务延伸适用于上述信息，或者</w:t>
      </w:r>
    </w:p>
    <w:p w14:paraId="24F13A31">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(ii) 该等额外人员已签署并向接收方交付一项承诺书，承诺在与提供给该等额外人员的信息相关的范围内遵守本协议的条款。</w:t>
      </w:r>
    </w:p>
    <w:p w14:paraId="55522FC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3、保密信息的使用</w:t>
      </w:r>
    </w:p>
    <w:p w14:paraId="4CFFFE8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接收方同意，自披露方处接收的保密信息仅限用于[评估和开展本协议所拟业务关系]/[拟议交易或安排的详情待填]之目的，而不得用于任何其他目的。在不限制上述一般性规定的前提下，接收方同意，未经披露方事先明确书面允许，其将不会对披露方在本协议项下约定保密事项。</w:t>
      </w:r>
    </w:p>
    <w:p w14:paraId="13D41F9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4、向披露方转让发明和原创作品 </w:t>
      </w:r>
    </w:p>
    <w:p w14:paraId="4BCDA81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接收方同意，如果在本协议期限内，接收方依披露方的指令或与披露方合作开发了任何发明、专利、具有著作权的原创作品、开发、改进或商业秘密，或者接收方因披露方或其任何代理人在本协议有效期内向接收方披露的信息或技术而开发了任何发明、专利、具有著作权的原创作品、开发、改进或商业秘密，则接收方将根据双方约定，为实现合同目的而向披露方做出书面披露。</w:t>
      </w:r>
    </w:p>
    <w:p w14:paraId="2BB592C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5、排他性 </w:t>
      </w:r>
    </w:p>
    <w:p w14:paraId="6FCDC1A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接收方可能不时（包括在本协议签署前）按披露方要求、在披露方指示下提供公司服务（“有关公司服务”）。未经披露方明确书面许可，接收方不得：</w:t>
      </w:r>
    </w:p>
    <w:p w14:paraId="4389FA5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(a) 提供公司服务，或者以类似技术为基础的任何服务；</w:t>
      </w:r>
    </w:p>
    <w:p w14:paraId="1F55553D">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(b) 向第三方提供任何保密信息使任何第三方能够制造有关公司服务或以类似技术为基础的任何服务。本条规定在本协议终止后应继续有效。]</w:t>
      </w:r>
    </w:p>
    <w:p w14:paraId="27B3CE2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6、归还信息 </w:t>
      </w:r>
    </w:p>
    <w:p w14:paraId="37F811C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自披露方处取得的或者由接收方生成且包含保密信息的任何有形材料均属于披露方财产，接收方应在协议终止时或披露方提出要求时（以较早者为准）：</w:t>
      </w:r>
    </w:p>
    <w:p w14:paraId="42CE927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立即停止对材料的一切使用；</w:t>
      </w:r>
    </w:p>
    <w:p w14:paraId="09D618FB">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按披露方指示向披露方归还或销毁所有材料；</w:t>
      </w:r>
    </w:p>
    <w:p w14:paraId="758913AC">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(c) 在披露方要求时向披露方提供由接收方授权代表确认接收方已遵守其在本条项下所有义务的证明。</w:t>
      </w:r>
    </w:p>
    <w:p w14:paraId="26C49A0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(d) 本条规定在本协议终止后应继续有效。</w:t>
      </w:r>
    </w:p>
    <w:p w14:paraId="5F56EC91">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7、需要作出的披露 </w:t>
      </w:r>
    </w:p>
    <w:p w14:paraId="24BE5C9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如果法律、法规、政府机构或法院命令、举证要求、传票或民事调查令要求接收方披露任何保密信息，接收方：</w:t>
      </w:r>
    </w:p>
    <w:p w14:paraId="35F274C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应立即向披露方发送书面通知，以便披露方能够与接收方一起尽可能将披露限定在法律义务范围内，包括寻求保护令或其他适当救济；</w:t>
      </w:r>
    </w:p>
    <w:p w14:paraId="3177D0E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仅可提供披露方法律顾问认为是法律要求披露的那部分保密信息。</w:t>
      </w:r>
    </w:p>
    <w:p w14:paraId="5C965ED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(c) 应尽其最大努力减少该等披露的范围，并取得接收信息者应对保密信息予以保密的保证。</w:t>
      </w:r>
    </w:p>
    <w:p w14:paraId="0FC098E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8、期限 </w:t>
      </w:r>
    </w:p>
    <w:p w14:paraId="6AB5832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本协议将于双方签署之时生效，应适用于双方之间在签署之前或之后的所有信息和交流，有效期为五（5）年，除非经双方书面一致约定提前终止。保密及不披露义务在终止后应继续有效，直至所有保密信息非因接收方的作为或不作为而为公众所知并可为公众普遍获得。</w:t>
      </w:r>
    </w:p>
    <w:p w14:paraId="5074FE01">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9、无违反情形 </w:t>
      </w:r>
    </w:p>
    <w:p w14:paraId="334144DB">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每一方均陈述，该方对本协议条款的遵守将不会违反其组织性文件以及该方对任何其他人或实体所负有的任何义务，包括关于向其他人提供服务、为专有信息保密以及转让发明、创意、专利或著作权的义务。</w:t>
      </w:r>
    </w:p>
    <w:p w14:paraId="69FB4CE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10、不得披露关系</w:t>
      </w:r>
    </w:p>
    <w:p w14:paraId="68C19DAB">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除非法律另有要求，否则双方同意，未经另一方事先书面同意，该方不得披露其参与本项承诺、本协议的存在或本协议条款或者双方之间存在或可能存在业务关系或合同关系的事实。</w:t>
      </w:r>
    </w:p>
    <w:p w14:paraId="66CA96F7">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11、非买卖合同</w:t>
      </w:r>
    </w:p>
    <w:p w14:paraId="050E668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本协议及本协议项下的保密信息披露均不构成或默示存在任何一方关于购买或使用产品、设施或服务的任何承诺或意向，亦不构成或默示存在任何一方关于任何当前或未来交易的任何承诺。如果双方就该等购买或使用达成有约束力的承诺，该等承诺应包含在单独的协议之中。双方确认，未经签署该等单独协议，本协议项下的任何讨论、通讯和其他活动均不得解释为构成有关任何其他交易的一项合同。此外，披露方没有与接收方谈判或订立任何正式协议的义务。</w:t>
      </w:r>
    </w:p>
    <w:p w14:paraId="147F6ED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12、保证</w:t>
      </w:r>
    </w:p>
    <w:p w14:paraId="77CBA08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接收方承认，披露方未就任何保密信息的准确性或完整性作出任何（明示或默示）的陈述或保证，并同意就其从向其披露的保密信息中推导而出的一切结论承担全部责任。披露方明确声明不承担全部或部分以其披露的任何保密信息、该等保密信息中的错误或遗漏为基础的任何及一切责任。</w:t>
      </w:r>
    </w:p>
    <w:p w14:paraId="59DAD30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13、损害赔偿和禁制令救济</w:t>
      </w:r>
    </w:p>
    <w:p w14:paraId="3ADFA2EB">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双方理解并承认，违反本协议规定对任何保密信息所做的任何披露或滥用有可能对披露方的业务、声誉和商誉造成不可弥补的损害。披露方有权对本协议保密条款的任何违反获得禁制令救济并要求赔偿因该等违反情形而造成的直接或者间接损害。</w:t>
      </w:r>
    </w:p>
    <w:p w14:paraId="3079DB4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14、无许可</w:t>
      </w:r>
    </w:p>
    <w:p w14:paraId="4DDD03D6">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除本协议中规定的保密信息有限使用权外，双方并不获得保密信息中的任何权利。本协议任何内容均没有、亦不得视为由一方向另一方转让任何专利、商标或著作权项下的任何权利或许可，并且，本协议亦不向接收方授予保密信息项下或对保密信息的任何权利，但本协议中明确规定的除外。</w:t>
      </w:r>
    </w:p>
    <w:p w14:paraId="32E8FD9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15、管辖法律和争议解决</w:t>
      </w:r>
    </w:p>
    <w:p w14:paraId="2F54487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本协议应受中华人民共和国法律管辖并依其解释和释义。</w:t>
      </w:r>
    </w:p>
    <w:p w14:paraId="4F6CDE3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在任何方面因本协议而发生的或与之相关的任何争议或索赔（包括但不限于：</w:t>
      </w:r>
    </w:p>
    <w:p w14:paraId="1E94B2ED">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 任何合同、先合同或非合同的权利、义务或责任；</w:t>
      </w:r>
    </w:p>
    <w:p w14:paraId="49A0FF9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 有关本协议的存在、效力或终止的任何问题，均应提交上海仲裁委员会按仲裁申请根据仲裁规则提交之日有效的上海仲裁委员会仲裁规则进行仲裁，作出终局裁决。仲裁庭应由双方共同指定的一（1）名仲裁员组成。如果双方未在争议发生后的14天内约定仲裁员，则经一方要求后，仲裁员应由上海仲裁委员会主任根据仲裁规则指定。仲裁地点应为[上海]，由上海仲裁委员会管理。庭审应在[上海]进行。</w:t>
      </w:r>
    </w:p>
    <w:p w14:paraId="407B4237">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一方向法院、仲裁庭或者任何行政或监管机构提出的临时措施申请不得视为、亦不得解释为与双方的仲裁约定不符或是对该等仲裁约定的放弃。法院、仲裁庭、行政或监管机构有权做出其视为公正、正当的命令，包括临时救济令。</w:t>
      </w:r>
    </w:p>
    <w:p w14:paraId="53A80E7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16.、一般规定 </w:t>
      </w:r>
    </w:p>
    <w:p w14:paraId="713F1CC7">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未经另一方书面同意，任何一方均不得转让本协议，但在该方绝大部分资产或业务被转让时对本协议做出的转让除外。在遵守前述规定的前提下，本协议应使双方的承继人、继承人和获准受让人受益，并对之有约束力。</w:t>
      </w:r>
    </w:p>
    <w:p w14:paraId="1D3FF7A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本协议是双方之间有关保密信息披露的全部协议，取代双方之前的一切口头和书面协议。对本协议任何条款的任何放弃、修改或撤销均在将受约束一方书面签署后方具有约束力。</w:t>
      </w:r>
    </w:p>
    <w:p w14:paraId="3A0D8B9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(c) 任何一方放弃对另一方违反本协议任何条款的情形追究责任并不构成、亦不得解释为放弃对另一方未来的任何违约情形追究责任。</w:t>
      </w:r>
    </w:p>
    <w:p w14:paraId="34B07D8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(d) 如果本协议任何部分被判为无效或不可强制执行，则除该无效或不可强制执行条款外，本协议其他条款应继续有效。</w:t>
      </w:r>
    </w:p>
    <w:p w14:paraId="71CCE9A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(e) 双方特此陈述并保证签署本协议之高级职员拥有代表双方签署的权力并提供有效的授权文件。</w:t>
      </w:r>
    </w:p>
    <w:p w14:paraId="5D2B9ECD">
      <w:pPr>
        <w:spacing w:line="360" w:lineRule="auto"/>
        <w:rPr>
          <w:rFonts w:hint="eastAsia" w:ascii="楷体" w:hAnsi="楷体" w:eastAsia="楷体" w:cs="楷体"/>
          <w:highlight w:val="none"/>
        </w:rPr>
      </w:pPr>
      <w:r>
        <w:rPr>
          <w:rFonts w:hint="eastAsia" w:ascii="楷体" w:hAnsi="楷体" w:eastAsia="楷体" w:cs="Arial"/>
          <w:bCs/>
          <w:sz w:val="24"/>
          <w:szCs w:val="24"/>
          <w:highlight w:val="none"/>
        </w:rPr>
        <w:t>(f) 本协议可签署一份或多份对应文本及/或可通过传真方式签署，并且，对于签署本协议之目的而言，每一份对应文本均具有同等法律效力。</w:t>
      </w:r>
    </w:p>
    <w:p w14:paraId="6D780C17">
      <w:pPr>
        <w:pStyle w:val="3"/>
        <w:spacing w:before="156"/>
        <w:jc w:val="left"/>
        <w:rPr>
          <w:rFonts w:hint="eastAsia" w:ascii="楷体" w:hAnsi="楷体" w:eastAsia="楷体" w:cs="楷体"/>
          <w:highlight w:val="none"/>
        </w:rPr>
      </w:pPr>
      <w:bookmarkStart w:id="86" w:name="_Toc18798"/>
      <w:bookmarkStart w:id="87" w:name="_Toc27922"/>
      <w:bookmarkStart w:id="88" w:name="_Toc8045"/>
      <w:r>
        <w:rPr>
          <w:rFonts w:hint="eastAsia" w:ascii="楷体" w:hAnsi="楷体" w:eastAsia="楷体" w:cs="楷体"/>
          <w:highlight w:val="none"/>
        </w:rPr>
        <w:t>五、评标办法</w:t>
      </w:r>
      <w:bookmarkEnd w:id="86"/>
      <w:bookmarkEnd w:id="87"/>
      <w:bookmarkEnd w:id="88"/>
    </w:p>
    <w:p w14:paraId="3174C49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1、最低价中标。</w:t>
      </w:r>
    </w:p>
    <w:p w14:paraId="67A6C6F8">
      <w:pPr>
        <w:spacing w:line="360" w:lineRule="auto"/>
        <w:rPr>
          <w:rFonts w:hint="eastAsia" w:ascii="楷体" w:hAnsi="楷体" w:eastAsia="楷体"/>
          <w:highlight w:val="none"/>
        </w:rPr>
      </w:pPr>
      <w:r>
        <w:rPr>
          <w:rFonts w:hint="eastAsia" w:ascii="楷体" w:hAnsi="楷体" w:eastAsia="楷体" w:cs="Arial"/>
          <w:bCs/>
          <w:sz w:val="24"/>
          <w:szCs w:val="24"/>
          <w:highlight w:val="none"/>
        </w:rPr>
        <w:t>*运量预估详见各标段报价表。</w:t>
      </w:r>
      <w:r>
        <w:rPr>
          <w:rFonts w:hint="eastAsia" w:ascii="楷体" w:hAnsi="楷体" w:eastAsia="楷体" w:cs="楷体"/>
          <w:highlight w:val="none"/>
        </w:rPr>
        <w:br w:type="page"/>
      </w:r>
    </w:p>
    <w:bookmarkEnd w:id="64"/>
    <w:bookmarkEnd w:id="65"/>
    <w:bookmarkEnd w:id="66"/>
    <w:bookmarkEnd w:id="67"/>
    <w:bookmarkEnd w:id="68"/>
    <w:bookmarkEnd w:id="69"/>
    <w:bookmarkEnd w:id="70"/>
    <w:p w14:paraId="042C0A70">
      <w:pPr>
        <w:pStyle w:val="2"/>
        <w:numPr>
          <w:ilvl w:val="0"/>
          <w:numId w:val="8"/>
        </w:numPr>
        <w:spacing w:beforeLines="0" w:line="360" w:lineRule="auto"/>
        <w:rPr>
          <w:rFonts w:hint="eastAsia" w:ascii="楷体" w:hAnsi="楷体" w:eastAsia="楷体"/>
          <w:sz w:val="40"/>
          <w:szCs w:val="40"/>
          <w:highlight w:val="none"/>
        </w:rPr>
      </w:pPr>
      <w:bookmarkStart w:id="89" w:name="_Toc28606"/>
      <w:r>
        <w:rPr>
          <w:rFonts w:hint="eastAsia" w:ascii="楷体" w:hAnsi="楷体" w:eastAsia="楷体"/>
          <w:sz w:val="40"/>
          <w:szCs w:val="40"/>
          <w:highlight w:val="none"/>
        </w:rPr>
        <w:t>报价单</w:t>
      </w:r>
      <w:bookmarkEnd w:id="89"/>
    </w:p>
    <w:p w14:paraId="28992535">
      <w:pPr>
        <w:rPr>
          <w:highlight w:val="none"/>
        </w:rPr>
      </w:pPr>
    </w:p>
    <w:p w14:paraId="12831F93">
      <w:pPr>
        <w:rPr>
          <w:rFonts w:hint="default" w:ascii="楷体" w:hAnsi="楷体" w:eastAsia="楷体"/>
          <w:sz w:val="36"/>
          <w:szCs w:val="18"/>
          <w:highlight w:val="yellow"/>
          <w:lang w:val="en-US" w:eastAsia="zh-CN"/>
        </w:rPr>
      </w:pPr>
      <w:r>
        <w:rPr>
          <w:rFonts w:hint="eastAsia" w:ascii="楷体" w:hAnsi="楷体" w:eastAsia="楷体"/>
          <w:b/>
          <w:bCs/>
          <w:sz w:val="28"/>
          <w:szCs w:val="28"/>
          <w:highlight w:val="yellow"/>
        </w:rPr>
        <w:t xml:space="preserve"> </w:t>
      </w:r>
      <w:r>
        <w:rPr>
          <w:rFonts w:hint="eastAsia" w:ascii="楷体" w:hAnsi="楷体" w:eastAsia="楷体"/>
          <w:sz w:val="40"/>
          <w:highlight w:val="yellow"/>
        </w:rPr>
        <w:t xml:space="preserve"> </w:t>
      </w:r>
      <w:r>
        <w:rPr>
          <w:rFonts w:hint="eastAsia" w:ascii="楷体" w:hAnsi="楷体" w:eastAsia="楷体"/>
          <w:sz w:val="40"/>
          <w:highlight w:val="yellow"/>
          <w:lang w:val="en-US" w:eastAsia="zh-CN"/>
        </w:rPr>
        <w:t>支付标书费后提供完整报价单模板。</w:t>
      </w:r>
    </w:p>
    <w:p w14:paraId="4B5F157B">
      <w:pPr>
        <w:pStyle w:val="2"/>
        <w:spacing w:before="156" w:line="360" w:lineRule="auto"/>
        <w:rPr>
          <w:rFonts w:hint="eastAsia" w:ascii="楷体" w:hAnsi="楷体" w:eastAsia="楷体"/>
          <w:sz w:val="40"/>
          <w:highlight w:val="none"/>
        </w:rPr>
      </w:pPr>
    </w:p>
    <w:p w14:paraId="19C7E9AD">
      <w:pPr>
        <w:pStyle w:val="2"/>
        <w:spacing w:before="156" w:line="360" w:lineRule="auto"/>
        <w:rPr>
          <w:rFonts w:hint="eastAsia" w:ascii="楷体" w:hAnsi="楷体" w:eastAsia="楷体"/>
          <w:sz w:val="40"/>
          <w:highlight w:val="none"/>
        </w:rPr>
      </w:pPr>
    </w:p>
    <w:p w14:paraId="255C4B18">
      <w:pPr>
        <w:pStyle w:val="2"/>
        <w:spacing w:before="156" w:line="360" w:lineRule="auto"/>
        <w:rPr>
          <w:rFonts w:hint="eastAsia" w:ascii="楷体" w:hAnsi="楷体" w:eastAsia="楷体"/>
          <w:sz w:val="40"/>
          <w:highlight w:val="none"/>
        </w:rPr>
      </w:pPr>
    </w:p>
    <w:p w14:paraId="60B9A8DD">
      <w:pPr>
        <w:pStyle w:val="2"/>
        <w:spacing w:before="156" w:line="360" w:lineRule="auto"/>
        <w:rPr>
          <w:rFonts w:hint="eastAsia" w:ascii="楷体" w:hAnsi="楷体" w:eastAsia="楷体"/>
          <w:sz w:val="40"/>
          <w:highlight w:val="none"/>
        </w:rPr>
      </w:pPr>
    </w:p>
    <w:p w14:paraId="4D901B9F">
      <w:pPr>
        <w:pStyle w:val="2"/>
        <w:spacing w:before="156" w:line="360" w:lineRule="auto"/>
        <w:rPr>
          <w:rFonts w:hint="eastAsia" w:ascii="楷体" w:hAnsi="楷体" w:eastAsia="楷体"/>
          <w:sz w:val="40"/>
          <w:highlight w:val="none"/>
        </w:rPr>
      </w:pPr>
    </w:p>
    <w:p w14:paraId="2C808DD6">
      <w:pPr>
        <w:pStyle w:val="2"/>
        <w:spacing w:before="156" w:line="360" w:lineRule="auto"/>
        <w:rPr>
          <w:rFonts w:hint="eastAsia" w:ascii="楷体" w:hAnsi="楷体" w:eastAsia="楷体"/>
          <w:sz w:val="40"/>
          <w:highlight w:val="none"/>
        </w:rPr>
      </w:pPr>
    </w:p>
    <w:p w14:paraId="5ACE13DF">
      <w:pPr>
        <w:rPr>
          <w:rFonts w:hint="eastAsia" w:ascii="楷体" w:hAnsi="楷体" w:eastAsia="楷体"/>
          <w:sz w:val="40"/>
          <w:highlight w:val="none"/>
        </w:rPr>
      </w:pPr>
    </w:p>
    <w:p w14:paraId="2EDD36A4">
      <w:pPr>
        <w:rPr>
          <w:rFonts w:hint="eastAsia" w:ascii="楷体" w:hAnsi="楷体" w:eastAsia="楷体"/>
          <w:sz w:val="40"/>
          <w:highlight w:val="none"/>
        </w:rPr>
      </w:pPr>
    </w:p>
    <w:p w14:paraId="7786093E">
      <w:pPr>
        <w:rPr>
          <w:rFonts w:hint="eastAsia" w:ascii="楷体" w:hAnsi="楷体" w:eastAsia="楷体"/>
          <w:sz w:val="40"/>
          <w:highlight w:val="none"/>
        </w:rPr>
      </w:pPr>
    </w:p>
    <w:p w14:paraId="6C1D7D4B">
      <w:pPr>
        <w:rPr>
          <w:rFonts w:hint="eastAsia" w:ascii="楷体" w:hAnsi="楷体" w:eastAsia="楷体"/>
          <w:sz w:val="40"/>
          <w:highlight w:val="none"/>
        </w:rPr>
      </w:pPr>
    </w:p>
    <w:p w14:paraId="425C8422">
      <w:pPr>
        <w:rPr>
          <w:rFonts w:hint="eastAsia" w:ascii="楷体" w:hAnsi="楷体" w:eastAsia="楷体"/>
          <w:sz w:val="40"/>
          <w:highlight w:val="none"/>
        </w:rPr>
      </w:pPr>
    </w:p>
    <w:p w14:paraId="7245D6C1">
      <w:pPr>
        <w:rPr>
          <w:rFonts w:hint="eastAsia" w:ascii="楷体" w:hAnsi="楷体" w:eastAsia="楷体"/>
          <w:sz w:val="40"/>
          <w:highlight w:val="none"/>
        </w:rPr>
      </w:pPr>
    </w:p>
    <w:p w14:paraId="65745A2B">
      <w:pPr>
        <w:rPr>
          <w:rFonts w:hint="eastAsia" w:ascii="楷体" w:hAnsi="楷体" w:eastAsia="楷体"/>
          <w:sz w:val="40"/>
          <w:highlight w:val="none"/>
        </w:rPr>
      </w:pPr>
    </w:p>
    <w:p w14:paraId="34FC65BF">
      <w:pPr>
        <w:rPr>
          <w:rFonts w:hint="eastAsia" w:ascii="楷体" w:hAnsi="楷体" w:eastAsia="楷体"/>
          <w:sz w:val="40"/>
          <w:highlight w:val="none"/>
        </w:rPr>
      </w:pPr>
    </w:p>
    <w:p w14:paraId="3E6CF738">
      <w:pPr>
        <w:rPr>
          <w:rFonts w:hint="eastAsia" w:ascii="楷体" w:hAnsi="楷体" w:eastAsia="楷体"/>
          <w:sz w:val="40"/>
          <w:highlight w:val="none"/>
        </w:rPr>
      </w:pPr>
    </w:p>
    <w:p w14:paraId="04163D82">
      <w:pPr>
        <w:rPr>
          <w:rFonts w:hint="eastAsia" w:ascii="楷体" w:hAnsi="楷体" w:eastAsia="楷体"/>
          <w:sz w:val="40"/>
          <w:highlight w:val="none"/>
        </w:rPr>
      </w:pPr>
    </w:p>
    <w:p w14:paraId="0BA671A6">
      <w:pPr>
        <w:rPr>
          <w:rFonts w:hint="eastAsia" w:ascii="楷体" w:hAnsi="楷体" w:eastAsia="楷体"/>
          <w:sz w:val="40"/>
          <w:highlight w:val="none"/>
        </w:rPr>
      </w:pPr>
    </w:p>
    <w:p w14:paraId="6037016C">
      <w:pPr>
        <w:rPr>
          <w:rFonts w:hint="eastAsia" w:ascii="楷体" w:hAnsi="楷体" w:eastAsia="楷体"/>
          <w:sz w:val="40"/>
          <w:highlight w:val="none"/>
        </w:rPr>
      </w:pPr>
    </w:p>
    <w:p w14:paraId="7C4C921C">
      <w:pPr>
        <w:pStyle w:val="2"/>
        <w:spacing w:before="156" w:line="360" w:lineRule="auto"/>
        <w:rPr>
          <w:rFonts w:hint="eastAsia" w:ascii="楷体" w:hAnsi="楷体" w:eastAsia="楷体"/>
          <w:sz w:val="40"/>
          <w:highlight w:val="none"/>
        </w:rPr>
      </w:pPr>
      <w:bookmarkStart w:id="90" w:name="_Toc14920"/>
      <w:bookmarkStart w:id="91" w:name="_Toc1839985037"/>
      <w:bookmarkStart w:id="92" w:name="_Toc3441"/>
      <w:bookmarkStart w:id="93" w:name="_Toc15747"/>
      <w:r>
        <w:rPr>
          <w:rFonts w:hint="eastAsia" w:ascii="楷体" w:hAnsi="楷体" w:eastAsia="楷体"/>
          <w:sz w:val="40"/>
          <w:highlight w:val="none"/>
        </w:rPr>
        <w:t>第四章 投标文件相关附件</w:t>
      </w:r>
      <w:bookmarkEnd w:id="90"/>
      <w:bookmarkEnd w:id="91"/>
      <w:bookmarkEnd w:id="92"/>
      <w:bookmarkEnd w:id="93"/>
    </w:p>
    <w:p w14:paraId="208E40DF">
      <w:pPr>
        <w:pStyle w:val="3"/>
        <w:spacing w:before="156"/>
        <w:jc w:val="left"/>
        <w:rPr>
          <w:rFonts w:hint="eastAsia" w:ascii="楷体" w:hAnsi="楷体" w:eastAsia="楷体"/>
          <w:highlight w:val="none"/>
        </w:rPr>
      </w:pPr>
      <w:bookmarkStart w:id="94" w:name="_Toc30102"/>
      <w:bookmarkStart w:id="95" w:name="_Toc4648"/>
      <w:bookmarkStart w:id="96" w:name="_Toc15796"/>
      <w:bookmarkStart w:id="97" w:name="_Toc864000059"/>
      <w:r>
        <w:rPr>
          <w:rFonts w:hint="eastAsia" w:ascii="楷体" w:hAnsi="楷体" w:eastAsia="楷体"/>
          <w:highlight w:val="none"/>
        </w:rPr>
        <w:t>附件一：投标承诺函</w:t>
      </w:r>
      <w:bookmarkEnd w:id="94"/>
      <w:bookmarkEnd w:id="95"/>
      <w:bookmarkEnd w:id="96"/>
      <w:bookmarkEnd w:id="97"/>
    </w:p>
    <w:p w14:paraId="0C5B78DE">
      <w:pPr>
        <w:jc w:val="center"/>
        <w:rPr>
          <w:rFonts w:hint="eastAsia" w:ascii="微软雅黑" w:hAnsi="微软雅黑" w:eastAsia="微软雅黑"/>
          <w:sz w:val="24"/>
          <w:szCs w:val="24"/>
          <w:highlight w:val="none"/>
        </w:rPr>
      </w:pPr>
      <w:r>
        <w:rPr>
          <w:rFonts w:hint="eastAsia" w:ascii="微软雅黑" w:hAnsi="微软雅黑" w:eastAsia="微软雅黑"/>
          <w:sz w:val="24"/>
          <w:szCs w:val="24"/>
          <w:highlight w:val="none"/>
        </w:rPr>
        <w:t>投标承诺函</w:t>
      </w:r>
    </w:p>
    <w:p w14:paraId="2C388590">
      <w:pPr>
        <w:jc w:val="left"/>
        <w:rPr>
          <w:rFonts w:hint="eastAsia" w:ascii="微软雅黑" w:hAnsi="微软雅黑" w:eastAsia="微软雅黑"/>
          <w:szCs w:val="21"/>
          <w:highlight w:val="none"/>
        </w:rPr>
      </w:pPr>
      <w:r>
        <w:rPr>
          <w:rFonts w:hint="eastAsia" w:ascii="微软雅黑" w:hAnsi="微软雅黑" w:eastAsia="微软雅黑"/>
          <w:szCs w:val="21"/>
          <w:highlight w:val="none"/>
        </w:rPr>
        <w:t>致上海数智世界工业科技集团有限公司：</w:t>
      </w:r>
    </w:p>
    <w:p w14:paraId="0F689F89">
      <w:pPr>
        <w:jc w:val="left"/>
        <w:rPr>
          <w:rFonts w:hint="eastAsia" w:ascii="微软雅黑" w:hAnsi="微软雅黑" w:eastAsia="微软雅黑"/>
          <w:szCs w:val="21"/>
          <w:highlight w:val="none"/>
        </w:rPr>
      </w:pPr>
      <w:r>
        <w:rPr>
          <w:rFonts w:hint="eastAsia" w:ascii="微软雅黑" w:hAnsi="微软雅黑" w:eastAsia="微软雅黑"/>
          <w:szCs w:val="21"/>
          <w:highlight w:val="none"/>
        </w:rPr>
        <w:t xml:space="preserve">     根据贵方</w:t>
      </w:r>
      <w:r>
        <w:rPr>
          <w:rFonts w:hint="eastAsia" w:ascii="微软雅黑" w:hAnsi="微软雅黑" w:eastAsia="微软雅黑"/>
          <w:szCs w:val="21"/>
          <w:highlight w:val="none"/>
          <w:u w:val="single"/>
        </w:rPr>
        <w:t xml:space="preserve"> </w:t>
      </w:r>
      <w:r>
        <w:rPr>
          <w:rFonts w:ascii="微软雅黑" w:hAnsi="微软雅黑" w:eastAsia="微软雅黑"/>
          <w:szCs w:val="21"/>
          <w:highlight w:val="none"/>
          <w:u w:val="single"/>
        </w:rPr>
        <w:t xml:space="preserve">                  </w:t>
      </w:r>
      <w:r>
        <w:rPr>
          <w:rFonts w:hint="eastAsia" w:ascii="微软雅黑" w:hAnsi="微软雅黑" w:eastAsia="微软雅黑"/>
          <w:szCs w:val="21"/>
          <w:highlight w:val="none"/>
        </w:rPr>
        <w:t>采购项目的采购文件，我方经考察和研究上述采购文件及其他有关文件，并考虑了全部潜在的所有风险后，承诺并同意如下：</w:t>
      </w:r>
    </w:p>
    <w:p w14:paraId="3BBD036A">
      <w:pPr>
        <w:jc w:val="left"/>
        <w:rPr>
          <w:rFonts w:hint="eastAsia" w:ascii="微软雅黑" w:hAnsi="微软雅黑" w:eastAsia="微软雅黑"/>
          <w:szCs w:val="21"/>
          <w:highlight w:val="none"/>
        </w:rPr>
      </w:pPr>
      <w:r>
        <w:rPr>
          <w:rFonts w:hint="eastAsia" w:ascii="微软雅黑" w:hAnsi="微软雅黑" w:eastAsia="微软雅黑"/>
          <w:szCs w:val="21"/>
          <w:highlight w:val="none"/>
        </w:rPr>
        <w:t>1.</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我公司将严格按照《中华人民共和国</w:t>
      </w:r>
      <w:r>
        <w:rPr>
          <w:rFonts w:hint="eastAsia" w:ascii="微软雅黑" w:hAnsi="微软雅黑" w:eastAsia="微软雅黑"/>
          <w:szCs w:val="21"/>
          <w:highlight w:val="none"/>
          <w:lang w:eastAsia="zh-Hans"/>
        </w:rPr>
        <w:t>招标</w:t>
      </w:r>
      <w:r>
        <w:rPr>
          <w:rFonts w:hint="eastAsia" w:ascii="微软雅黑" w:hAnsi="微软雅黑" w:eastAsia="微软雅黑"/>
          <w:szCs w:val="21"/>
          <w:highlight w:val="none"/>
        </w:rPr>
        <w:t>投标法》的相关规定，规范自已的投标行为。我公司保证在投标中所提供的文件资料真实、有效，不存在弄虚作假。</w:t>
      </w:r>
    </w:p>
    <w:p w14:paraId="5D38DFA2">
      <w:pPr>
        <w:jc w:val="left"/>
        <w:rPr>
          <w:rFonts w:hint="eastAsia" w:ascii="微软雅黑" w:hAnsi="微软雅黑" w:eastAsia="微软雅黑"/>
          <w:szCs w:val="21"/>
          <w:highlight w:val="none"/>
        </w:rPr>
      </w:pPr>
      <w:r>
        <w:rPr>
          <w:rFonts w:hint="eastAsia" w:ascii="微软雅黑" w:hAnsi="微软雅黑" w:eastAsia="微软雅黑"/>
          <w:szCs w:val="21"/>
          <w:highlight w:val="none"/>
        </w:rPr>
        <w:t>2.</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我公司保证在中标后，忠实地执行双方所签订的合同，并履行合同规定的义务，承担合同规定的责任。</w:t>
      </w:r>
    </w:p>
    <w:p w14:paraId="69E839CB">
      <w:pPr>
        <w:jc w:val="left"/>
        <w:rPr>
          <w:rFonts w:hint="eastAsia" w:ascii="微软雅黑" w:hAnsi="微软雅黑" w:eastAsia="微软雅黑"/>
          <w:szCs w:val="21"/>
          <w:highlight w:val="none"/>
        </w:rPr>
      </w:pPr>
      <w:r>
        <w:rPr>
          <w:rFonts w:hint="eastAsia" w:ascii="微软雅黑" w:hAnsi="微软雅黑" w:eastAsia="微软雅黑"/>
          <w:szCs w:val="21"/>
          <w:highlight w:val="none"/>
        </w:rPr>
        <w:t>3.</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同意按采购文件的规定及平台发布的保证金金额缴交投标保证金。在投标有效期内，如果我公司撤回投标或中标后拒绝签订合同，或我公司有串通投标、弄虛作假、行贿等违法行为，或违反采购文件中任一条款的，投标保证金不退还，且贵公司有权单方面解除双方合作关系，由此给贵公司造成损失的由我公司承担。</w:t>
      </w:r>
    </w:p>
    <w:p w14:paraId="0CFE08D3">
      <w:pPr>
        <w:jc w:val="left"/>
        <w:rPr>
          <w:rFonts w:hint="eastAsia" w:ascii="微软雅黑" w:hAnsi="微软雅黑" w:eastAsia="微软雅黑"/>
          <w:szCs w:val="21"/>
          <w:highlight w:val="none"/>
        </w:rPr>
      </w:pPr>
      <w:r>
        <w:rPr>
          <w:rFonts w:hint="eastAsia" w:ascii="微软雅黑" w:hAnsi="微软雅黑" w:eastAsia="微软雅黑"/>
          <w:szCs w:val="21"/>
          <w:highlight w:val="none"/>
        </w:rPr>
        <w:t>4.</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我公司愿意向贵公司提供任何与本项投标有关的资料、情况和技术资料。若贵公司需要，我公司愿意提供我公司作出的一切承诺的证明材料。</w:t>
      </w:r>
    </w:p>
    <w:p w14:paraId="08A54599">
      <w:pPr>
        <w:jc w:val="left"/>
        <w:rPr>
          <w:rFonts w:hint="eastAsia" w:ascii="微软雅黑" w:hAnsi="微软雅黑" w:eastAsia="微软雅黑"/>
          <w:szCs w:val="21"/>
          <w:highlight w:val="none"/>
        </w:rPr>
      </w:pPr>
      <w:r>
        <w:rPr>
          <w:rFonts w:hint="eastAsia" w:ascii="微软雅黑" w:hAnsi="微软雅黑" w:eastAsia="微软雅黑"/>
          <w:szCs w:val="21"/>
          <w:highlight w:val="none"/>
        </w:rPr>
        <w:t>5.</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我公司已详细审核全部投标档，包括投标档修改书（如有）及有关附件，确认无误。我公司承诺接受采购档中的全部条款且无任何异议。</w:t>
      </w:r>
    </w:p>
    <w:p w14:paraId="476BA1E0">
      <w:pPr>
        <w:jc w:val="left"/>
        <w:rPr>
          <w:rFonts w:hint="eastAsia" w:ascii="微软雅黑" w:hAnsi="微软雅黑" w:eastAsia="微软雅黑"/>
          <w:szCs w:val="21"/>
          <w:highlight w:val="none"/>
        </w:rPr>
      </w:pPr>
      <w:r>
        <w:rPr>
          <w:rFonts w:hint="eastAsia" w:ascii="微软雅黑" w:hAnsi="微软雅黑" w:eastAsia="微软雅黑"/>
          <w:szCs w:val="21"/>
          <w:highlight w:val="none"/>
        </w:rPr>
        <w:t>6.</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我公司承诺：贵公司若需追加本项目采购文件所列货物及相关服务，在不改变合同其他实质性条款的前提下，按相同或更优惠的折扣率保证供货。</w:t>
      </w:r>
    </w:p>
    <w:p w14:paraId="072DD70F">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7.  </w:t>
      </w:r>
      <w:r>
        <w:rPr>
          <w:rFonts w:hint="eastAsia" w:ascii="微软雅黑" w:hAnsi="微软雅黑" w:eastAsia="微软雅黑"/>
          <w:szCs w:val="21"/>
          <w:highlight w:val="none"/>
        </w:rPr>
        <w:t xml:space="preserve">不与他人串通，泄露招标投标机密。  </w:t>
      </w:r>
    </w:p>
    <w:p w14:paraId="04A01546">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8.  </w:t>
      </w:r>
      <w:r>
        <w:rPr>
          <w:rFonts w:hint="eastAsia" w:ascii="微软雅黑" w:hAnsi="微软雅黑" w:eastAsia="微软雅黑"/>
          <w:szCs w:val="21"/>
          <w:highlight w:val="none"/>
        </w:rPr>
        <w:t xml:space="preserve">不与委托的代理机构或投标人串通，搞假招标、陪标、围标、串标。  </w:t>
      </w:r>
    </w:p>
    <w:p w14:paraId="0C5CC219">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9.  </w:t>
      </w:r>
      <w:r>
        <w:rPr>
          <w:rFonts w:hint="eastAsia" w:ascii="微软雅黑" w:hAnsi="微软雅黑" w:eastAsia="微软雅黑"/>
          <w:szCs w:val="21"/>
          <w:highlight w:val="none"/>
        </w:rPr>
        <w:t xml:space="preserve">不向评标专家支付合理报酬以外的现金，赠送有价证券和其他礼物及组织评标专家参加可能影响客观公正监管的活动。  </w:t>
      </w:r>
    </w:p>
    <w:p w14:paraId="5D8EFE3D">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10.  </w:t>
      </w:r>
      <w:r>
        <w:rPr>
          <w:rFonts w:hint="eastAsia" w:ascii="微软雅黑" w:hAnsi="微软雅黑" w:eastAsia="微软雅黑"/>
          <w:szCs w:val="21"/>
          <w:highlight w:val="none"/>
        </w:rPr>
        <w:t>不向招标投标监管人员请客、送礼及组织其它有可能影响客观公正监管的活动。</w:t>
      </w:r>
    </w:p>
    <w:p w14:paraId="51BC5D19">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11.  </w:t>
      </w:r>
      <w:r>
        <w:rPr>
          <w:rFonts w:hint="eastAsia" w:ascii="微软雅黑" w:hAnsi="微软雅黑" w:eastAsia="微软雅黑"/>
          <w:szCs w:val="21"/>
          <w:highlight w:val="none"/>
        </w:rPr>
        <w:t>主动回避按照有关法规或制度明确应予回避的招投标项目。</w:t>
      </w:r>
    </w:p>
    <w:p w14:paraId="424C7A59">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12.  </w:t>
      </w:r>
      <w:r>
        <w:rPr>
          <w:rFonts w:hint="eastAsia" w:ascii="微软雅黑" w:hAnsi="微软雅黑" w:eastAsia="微软雅黑"/>
          <w:szCs w:val="21"/>
          <w:highlight w:val="none"/>
        </w:rPr>
        <w:t xml:space="preserve">若发现其他招标工作参与人存在以上行为，立即向公司招投标监管部门上报，不隐瞒、包庇。 </w:t>
      </w:r>
    </w:p>
    <w:p w14:paraId="0AFE8240">
      <w:pPr>
        <w:jc w:val="left"/>
        <w:rPr>
          <w:rFonts w:hint="eastAsia" w:ascii="微软雅黑" w:hAnsi="微软雅黑" w:eastAsia="微软雅黑"/>
          <w:szCs w:val="21"/>
          <w:highlight w:val="none"/>
        </w:rPr>
      </w:pPr>
    </w:p>
    <w:p w14:paraId="60D78386">
      <w:pPr>
        <w:jc w:val="left"/>
        <w:rPr>
          <w:rFonts w:hint="eastAsia" w:ascii="微软雅黑" w:hAnsi="微软雅黑" w:eastAsia="微软雅黑"/>
          <w:szCs w:val="21"/>
          <w:highlight w:val="none"/>
        </w:rPr>
      </w:pPr>
      <w:r>
        <w:rPr>
          <w:rFonts w:hint="eastAsia" w:ascii="微软雅黑" w:hAnsi="微软雅黑" w:eastAsia="微软雅黑"/>
          <w:szCs w:val="21"/>
          <w:highlight w:val="none"/>
        </w:rPr>
        <w:t>如违反上述承诺，</w:t>
      </w:r>
      <w:r>
        <w:rPr>
          <w:rFonts w:hint="eastAsia" w:ascii="微软雅黑" w:hAnsi="微软雅黑" w:eastAsia="微软雅黑"/>
          <w:szCs w:val="21"/>
          <w:highlight w:val="none"/>
          <w:lang w:eastAsia="zh-Hans"/>
        </w:rPr>
        <w:t>本公司</w:t>
      </w:r>
      <w:r>
        <w:rPr>
          <w:rFonts w:ascii="微软雅黑" w:hAnsi="微软雅黑" w:eastAsia="微软雅黑"/>
          <w:szCs w:val="21"/>
          <w:highlight w:val="none"/>
          <w:lang w:eastAsia="zh-Hans"/>
        </w:rPr>
        <w:t>/</w:t>
      </w:r>
      <w:r>
        <w:rPr>
          <w:rFonts w:hint="eastAsia" w:ascii="微软雅黑" w:hAnsi="微软雅黑" w:eastAsia="微软雅黑"/>
          <w:szCs w:val="21"/>
          <w:highlight w:val="none"/>
        </w:rPr>
        <w:t>本人自愿承担相关责任，接受招标投标监督管理部门、纪检监察机关或司法机关调查处理。</w:t>
      </w:r>
    </w:p>
    <w:p w14:paraId="46DDA750">
      <w:pPr>
        <w:jc w:val="left"/>
        <w:rPr>
          <w:rFonts w:hint="eastAsia" w:ascii="微软雅黑" w:hAnsi="微软雅黑" w:eastAsia="微软雅黑"/>
          <w:szCs w:val="21"/>
          <w:highlight w:val="none"/>
        </w:rPr>
      </w:pPr>
    </w:p>
    <w:p w14:paraId="406876AA">
      <w:pPr>
        <w:jc w:val="left"/>
        <w:rPr>
          <w:rFonts w:hint="eastAsia" w:ascii="微软雅黑" w:hAnsi="微软雅黑" w:eastAsia="微软雅黑"/>
          <w:szCs w:val="21"/>
          <w:highlight w:val="none"/>
        </w:rPr>
      </w:pPr>
    </w:p>
    <w:p w14:paraId="029D1FFE">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投标单位（盖章）：</w:t>
      </w:r>
    </w:p>
    <w:p w14:paraId="60E10AA5">
      <w:pPr>
        <w:jc w:val="left"/>
        <w:rPr>
          <w:rFonts w:hint="eastAsia" w:ascii="微软雅黑" w:hAnsi="微软雅黑" w:eastAsia="微软雅黑"/>
          <w:szCs w:val="21"/>
          <w:highlight w:val="none"/>
        </w:rPr>
      </w:pPr>
    </w:p>
    <w:p w14:paraId="34623EB3">
      <w:pPr>
        <w:jc w:val="left"/>
        <w:rPr>
          <w:rFonts w:hint="eastAsia" w:ascii="微软雅黑" w:hAnsi="微软雅黑" w:eastAsia="微软雅黑"/>
          <w:szCs w:val="21"/>
          <w:highlight w:val="none"/>
        </w:rPr>
      </w:pPr>
    </w:p>
    <w:p w14:paraId="380C32F1">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法人或授权代理人（签字）：</w:t>
      </w:r>
    </w:p>
    <w:p w14:paraId="470B2031">
      <w:pPr>
        <w:jc w:val="left"/>
        <w:rPr>
          <w:rFonts w:hint="eastAsia" w:ascii="微软雅黑" w:hAnsi="微软雅黑" w:eastAsia="微软雅黑"/>
          <w:szCs w:val="21"/>
          <w:highlight w:val="none"/>
        </w:rPr>
      </w:pPr>
    </w:p>
    <w:p w14:paraId="10DECD13">
      <w:pPr>
        <w:jc w:val="left"/>
        <w:rPr>
          <w:rFonts w:hint="eastAsia" w:ascii="微软雅黑" w:hAnsi="微软雅黑" w:eastAsia="微软雅黑"/>
          <w:szCs w:val="21"/>
          <w:highlight w:val="none"/>
        </w:rPr>
      </w:pPr>
    </w:p>
    <w:p w14:paraId="4E6DFA23">
      <w:pPr>
        <w:jc w:val="left"/>
        <w:rPr>
          <w:rFonts w:hint="eastAsia" w:ascii="微软雅黑" w:hAnsi="微软雅黑" w:eastAsia="微软雅黑"/>
          <w:szCs w:val="21"/>
          <w:highlight w:val="none"/>
        </w:rPr>
      </w:pPr>
      <w:r>
        <w:rPr>
          <w:rFonts w:hint="eastAsia" w:ascii="微软雅黑" w:hAnsi="微软雅黑" w:eastAsia="微软雅黑"/>
          <w:szCs w:val="21"/>
          <w:highlight w:val="none"/>
        </w:rPr>
        <w:t>年     月     日</w:t>
      </w:r>
    </w:p>
    <w:p w14:paraId="6C21FF4E">
      <w:pPr>
        <w:jc w:val="left"/>
        <w:rPr>
          <w:rFonts w:hint="eastAsia" w:ascii="微软雅黑" w:hAnsi="微软雅黑" w:eastAsia="微软雅黑"/>
          <w:szCs w:val="21"/>
          <w:highlight w:val="none"/>
        </w:rPr>
      </w:pPr>
    </w:p>
    <w:p w14:paraId="6F4C576F">
      <w:pPr>
        <w:jc w:val="left"/>
        <w:rPr>
          <w:rFonts w:hint="eastAsia" w:ascii="微软雅黑" w:hAnsi="微软雅黑" w:eastAsia="微软雅黑"/>
          <w:szCs w:val="21"/>
          <w:highlight w:val="none"/>
        </w:rPr>
      </w:pPr>
    </w:p>
    <w:p w14:paraId="5EC32027">
      <w:pPr>
        <w:jc w:val="left"/>
        <w:rPr>
          <w:rFonts w:hint="eastAsia" w:ascii="微软雅黑" w:hAnsi="微软雅黑" w:eastAsia="微软雅黑"/>
          <w:szCs w:val="21"/>
          <w:highlight w:val="none"/>
        </w:rPr>
      </w:pPr>
    </w:p>
    <w:p w14:paraId="7EB5687B">
      <w:pPr>
        <w:jc w:val="left"/>
        <w:rPr>
          <w:rFonts w:hint="eastAsia" w:ascii="微软雅黑" w:hAnsi="微软雅黑" w:eastAsia="微软雅黑"/>
          <w:szCs w:val="21"/>
          <w:highlight w:val="none"/>
        </w:rPr>
      </w:pPr>
    </w:p>
    <w:p w14:paraId="1076419B">
      <w:pPr>
        <w:pStyle w:val="3"/>
        <w:spacing w:before="156"/>
        <w:jc w:val="left"/>
        <w:rPr>
          <w:rFonts w:hint="eastAsia" w:ascii="楷体" w:hAnsi="楷体" w:eastAsia="楷体"/>
          <w:highlight w:val="none"/>
        </w:rPr>
      </w:pPr>
      <w:bookmarkStart w:id="98" w:name="_Toc21567"/>
      <w:bookmarkStart w:id="99" w:name="_Toc2112054246"/>
      <w:bookmarkStart w:id="100" w:name="_Toc2"/>
      <w:bookmarkStart w:id="101" w:name="_Toc29163"/>
      <w:r>
        <w:rPr>
          <w:rFonts w:hint="eastAsia" w:ascii="楷体" w:hAnsi="楷体" w:eastAsia="楷体"/>
          <w:highlight w:val="none"/>
        </w:rPr>
        <w:t>附件二、投标人关联关系及围标串标认定处罚知情书</w:t>
      </w:r>
      <w:bookmarkEnd w:id="98"/>
      <w:bookmarkEnd w:id="99"/>
      <w:bookmarkEnd w:id="100"/>
      <w:bookmarkEnd w:id="101"/>
    </w:p>
    <w:p w14:paraId="23BF81CC">
      <w:pPr>
        <w:jc w:val="center"/>
        <w:rPr>
          <w:rFonts w:hint="eastAsia" w:ascii="微软雅黑" w:hAnsi="微软雅黑" w:eastAsia="微软雅黑"/>
          <w:b/>
          <w:bCs/>
          <w:sz w:val="28"/>
          <w:szCs w:val="28"/>
          <w:highlight w:val="none"/>
        </w:rPr>
      </w:pPr>
      <w:r>
        <w:rPr>
          <w:rFonts w:hint="eastAsia" w:ascii="微软雅黑" w:hAnsi="微软雅黑" w:eastAsia="微软雅黑"/>
          <w:b/>
          <w:bCs/>
          <w:sz w:val="28"/>
          <w:szCs w:val="28"/>
          <w:highlight w:val="none"/>
        </w:rPr>
        <w:t>投标人关联关系及围标串标认定处罚知情书</w:t>
      </w:r>
    </w:p>
    <w:p w14:paraId="04E32237">
      <w:pPr>
        <w:jc w:val="left"/>
        <w:rPr>
          <w:rFonts w:hint="eastAsia" w:ascii="微软雅黑" w:hAnsi="微软雅黑" w:eastAsia="微软雅黑"/>
          <w:szCs w:val="21"/>
          <w:highlight w:val="none"/>
        </w:rPr>
      </w:pPr>
      <w:r>
        <w:rPr>
          <w:rFonts w:hint="eastAsia" w:ascii="微软雅黑" w:hAnsi="微软雅黑" w:eastAsia="微软雅黑"/>
          <w:szCs w:val="21"/>
          <w:highlight w:val="none"/>
        </w:rPr>
        <w:t>一、围标串标情形认定及处罚</w:t>
      </w:r>
    </w:p>
    <w:p w14:paraId="18A446D0">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投标人通过一定途径，秘密伙同其他投标人共同商量投标策略，串通投标报价，排斥其他投标人参与公平竞争或损害招标人利益，以非法手段谋取中标行为的，认定为围标串标情形，将扣除此投标项目投标保证金，并永久取消在上海数智世界工业科技集团内各单位的中选资格，招标人根据实际情况评估，如情节严重，有权决定立即终止与投标人的一切业务合作。</w:t>
      </w:r>
    </w:p>
    <w:p w14:paraId="713D6131">
      <w:pPr>
        <w:jc w:val="left"/>
        <w:rPr>
          <w:rFonts w:hint="eastAsia" w:ascii="微软雅黑" w:hAnsi="微软雅黑" w:eastAsia="微软雅黑"/>
          <w:szCs w:val="21"/>
          <w:highlight w:val="none"/>
        </w:rPr>
      </w:pPr>
      <w:r>
        <w:rPr>
          <w:rFonts w:hint="eastAsia" w:ascii="微软雅黑" w:hAnsi="微软雅黑" w:eastAsia="微软雅黑"/>
          <w:szCs w:val="21"/>
          <w:highlight w:val="none"/>
        </w:rPr>
        <w:t>围标串标情形认定方式：</w:t>
      </w:r>
    </w:p>
    <w:p w14:paraId="5AC68784">
      <w:pPr>
        <w:jc w:val="left"/>
        <w:rPr>
          <w:rFonts w:hint="eastAsia" w:ascii="微软雅黑" w:hAnsi="微软雅黑" w:eastAsia="微软雅黑"/>
          <w:szCs w:val="21"/>
          <w:highlight w:val="none"/>
        </w:rPr>
      </w:pPr>
      <w:r>
        <w:rPr>
          <w:rFonts w:hint="eastAsia" w:ascii="微软雅黑" w:hAnsi="微软雅黑" w:eastAsia="微软雅黑"/>
          <w:szCs w:val="21"/>
          <w:highlight w:val="none"/>
        </w:rPr>
        <w:t>1.</w:t>
      </w:r>
      <w:r>
        <w:rPr>
          <w:rFonts w:ascii="微软雅黑" w:hAnsi="微软雅黑" w:eastAsia="微软雅黑"/>
          <w:szCs w:val="21"/>
          <w:highlight w:val="none"/>
        </w:rPr>
        <w:t xml:space="preserve"> </w:t>
      </w:r>
      <w:r>
        <w:rPr>
          <w:rFonts w:hint="eastAsia" w:ascii="微软雅黑" w:hAnsi="微软雅黑" w:eastAsia="微软雅黑"/>
          <w:szCs w:val="21"/>
          <w:highlight w:val="none"/>
        </w:rPr>
        <w:t>经检测，不同供应商的响应文件或报价文件存在信息超过80%一致的；</w:t>
      </w:r>
    </w:p>
    <w:p w14:paraId="0D49B064">
      <w:pPr>
        <w:jc w:val="left"/>
        <w:rPr>
          <w:rFonts w:hint="eastAsia" w:ascii="微软雅黑" w:hAnsi="微软雅黑" w:eastAsia="微软雅黑"/>
          <w:szCs w:val="21"/>
          <w:highlight w:val="none"/>
        </w:rPr>
      </w:pPr>
      <w:r>
        <w:rPr>
          <w:rFonts w:hint="eastAsia" w:ascii="微软雅黑" w:hAnsi="微软雅黑" w:eastAsia="微软雅黑"/>
          <w:szCs w:val="21"/>
          <w:highlight w:val="none"/>
        </w:rPr>
        <w:t>2. 经检测不同供应商存在上传响应文件或报价文件的 IP 地址一致（评审小组应当向供应商发出询问）如澄清无客观原因说明的（如线上招标）；</w:t>
      </w:r>
    </w:p>
    <w:p w14:paraId="5F00B335">
      <w:pPr>
        <w:jc w:val="left"/>
        <w:rPr>
          <w:rFonts w:hint="eastAsia" w:ascii="微软雅黑" w:hAnsi="微软雅黑" w:eastAsia="微软雅黑"/>
          <w:szCs w:val="21"/>
          <w:highlight w:val="none"/>
        </w:rPr>
      </w:pPr>
      <w:r>
        <w:rPr>
          <w:rFonts w:hint="eastAsia" w:ascii="微软雅黑" w:hAnsi="微软雅黑" w:eastAsia="微软雅黑"/>
          <w:szCs w:val="21"/>
          <w:highlight w:val="none"/>
        </w:rPr>
        <w:t>3.</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不同供应商的响应文件或报价文件由同一单位或者个人编制的；</w:t>
      </w:r>
    </w:p>
    <w:p w14:paraId="38E7F203">
      <w:pPr>
        <w:jc w:val="left"/>
        <w:rPr>
          <w:rFonts w:hint="eastAsia" w:ascii="微软雅黑" w:hAnsi="微软雅黑" w:eastAsia="微软雅黑"/>
          <w:szCs w:val="21"/>
          <w:highlight w:val="none"/>
        </w:rPr>
      </w:pPr>
      <w:r>
        <w:rPr>
          <w:rFonts w:hint="eastAsia" w:ascii="微软雅黑" w:hAnsi="微软雅黑" w:eastAsia="微软雅黑"/>
          <w:szCs w:val="21"/>
          <w:highlight w:val="none"/>
        </w:rPr>
        <w:t>4. 不同供应商的响应文件或报价文件载明的项目管理成员为同一人的；</w:t>
      </w:r>
    </w:p>
    <w:p w14:paraId="353C3D4C">
      <w:pPr>
        <w:jc w:val="left"/>
        <w:rPr>
          <w:rFonts w:hint="eastAsia" w:ascii="微软雅黑" w:hAnsi="微软雅黑" w:eastAsia="微软雅黑"/>
          <w:szCs w:val="21"/>
          <w:highlight w:val="none"/>
        </w:rPr>
      </w:pPr>
      <w:r>
        <w:rPr>
          <w:rFonts w:hint="eastAsia" w:ascii="微软雅黑" w:hAnsi="微软雅黑" w:eastAsia="微软雅黑"/>
          <w:szCs w:val="21"/>
          <w:highlight w:val="none"/>
        </w:rPr>
        <w:t>5. 不同供应商响应文件或报价文件异常一致或者报价呈规律性差异的；</w:t>
      </w:r>
    </w:p>
    <w:p w14:paraId="63086F23">
      <w:pPr>
        <w:jc w:val="left"/>
        <w:rPr>
          <w:rFonts w:hint="eastAsia" w:ascii="微软雅黑" w:hAnsi="微软雅黑" w:eastAsia="微软雅黑"/>
          <w:szCs w:val="21"/>
          <w:highlight w:val="none"/>
        </w:rPr>
      </w:pPr>
      <w:r>
        <w:rPr>
          <w:rFonts w:hint="eastAsia" w:ascii="微软雅黑" w:hAnsi="微软雅黑" w:eastAsia="微软雅黑"/>
          <w:szCs w:val="21"/>
          <w:highlight w:val="none"/>
        </w:rPr>
        <w:t>6. 不同供应商的</w:t>
      </w:r>
      <w:r>
        <w:rPr>
          <w:rFonts w:hint="eastAsia" w:ascii="微软雅黑" w:hAnsi="微软雅黑" w:eastAsia="微软雅黑"/>
          <w:szCs w:val="21"/>
          <w:highlight w:val="none"/>
          <w:lang w:eastAsia="zh-Hans"/>
        </w:rPr>
        <w:t>投标</w:t>
      </w:r>
      <w:r>
        <w:rPr>
          <w:rFonts w:hint="eastAsia" w:ascii="微软雅黑" w:hAnsi="微软雅黑" w:eastAsia="微软雅黑"/>
          <w:szCs w:val="21"/>
          <w:highlight w:val="none"/>
        </w:rPr>
        <w:t>保证金</w:t>
      </w:r>
      <w:r>
        <w:rPr>
          <w:rFonts w:hint="eastAsia" w:ascii="微软雅黑" w:hAnsi="微软雅黑" w:eastAsia="微软雅黑"/>
          <w:szCs w:val="21"/>
          <w:highlight w:val="none"/>
          <w:lang w:eastAsia="zh-Hans"/>
        </w:rPr>
        <w:t>或履约保证金</w:t>
      </w:r>
      <w:r>
        <w:rPr>
          <w:rFonts w:hint="eastAsia" w:ascii="微软雅黑" w:hAnsi="微软雅黑" w:eastAsia="微软雅黑"/>
          <w:szCs w:val="21"/>
          <w:highlight w:val="none"/>
        </w:rPr>
        <w:t>从同一单位或者个人的账户转出的；</w:t>
      </w:r>
    </w:p>
    <w:p w14:paraId="559C8C72">
      <w:pPr>
        <w:jc w:val="left"/>
        <w:rPr>
          <w:rFonts w:hint="eastAsia" w:ascii="微软雅黑" w:hAnsi="微软雅黑" w:eastAsia="微软雅黑"/>
          <w:szCs w:val="21"/>
          <w:highlight w:val="none"/>
        </w:rPr>
      </w:pPr>
      <w:r>
        <w:rPr>
          <w:rFonts w:hint="eastAsia" w:ascii="微软雅黑" w:hAnsi="微软雅黑" w:eastAsia="微软雅黑"/>
          <w:szCs w:val="21"/>
          <w:highlight w:val="none"/>
        </w:rPr>
        <w:t>7．不同供应商的单位负责人或法定代表人为同一人的；</w:t>
      </w:r>
    </w:p>
    <w:p w14:paraId="71C4DF7B">
      <w:pPr>
        <w:jc w:val="left"/>
        <w:rPr>
          <w:rFonts w:hint="eastAsia" w:ascii="微软雅黑" w:hAnsi="微软雅黑" w:eastAsia="微软雅黑"/>
          <w:szCs w:val="21"/>
          <w:highlight w:val="none"/>
        </w:rPr>
      </w:pPr>
      <w:r>
        <w:rPr>
          <w:rFonts w:hint="eastAsia" w:ascii="微软雅黑" w:hAnsi="微软雅黑" w:eastAsia="微软雅黑"/>
          <w:szCs w:val="21"/>
          <w:highlight w:val="none"/>
        </w:rPr>
        <w:t>8. 不同供应商之间存在控股、管理关系的；</w:t>
      </w:r>
    </w:p>
    <w:p w14:paraId="28BE6B5E">
      <w:pPr>
        <w:jc w:val="left"/>
        <w:rPr>
          <w:rFonts w:hint="eastAsia" w:ascii="微软雅黑" w:hAnsi="微软雅黑" w:eastAsia="微软雅黑"/>
          <w:szCs w:val="21"/>
          <w:highlight w:val="none"/>
        </w:rPr>
      </w:pPr>
      <w:r>
        <w:rPr>
          <w:rFonts w:hint="eastAsia" w:ascii="微软雅黑" w:hAnsi="微软雅黑" w:eastAsia="微软雅黑"/>
          <w:szCs w:val="21"/>
          <w:highlight w:val="none"/>
        </w:rPr>
        <w:t>9. 不同供应商的股东中存在相同主体的</w:t>
      </w:r>
      <w:r>
        <w:rPr>
          <w:rFonts w:hint="eastAsia" w:ascii="微软雅黑" w:hAnsi="微软雅黑" w:eastAsia="微软雅黑"/>
          <w:szCs w:val="21"/>
          <w:highlight w:val="none"/>
          <w:lang w:eastAsia="zh-Hans"/>
        </w:rPr>
        <w:t>（</w:t>
      </w:r>
      <w:r>
        <w:rPr>
          <w:rFonts w:hint="eastAsia" w:ascii="微软雅黑" w:hAnsi="微软雅黑" w:eastAsia="微软雅黑"/>
          <w:szCs w:val="21"/>
          <w:highlight w:val="none"/>
        </w:rPr>
        <w:t>包括自然人、公司等</w:t>
      </w:r>
      <w:r>
        <w:rPr>
          <w:rFonts w:hint="eastAsia" w:ascii="微软雅黑" w:hAnsi="微软雅黑" w:eastAsia="微软雅黑"/>
          <w:szCs w:val="21"/>
          <w:highlight w:val="none"/>
          <w:lang w:eastAsia="zh-Hans"/>
        </w:rPr>
        <w:t>）</w:t>
      </w:r>
      <w:r>
        <w:rPr>
          <w:rFonts w:hint="eastAsia" w:ascii="微软雅黑" w:hAnsi="微软雅黑" w:eastAsia="微软雅黑"/>
          <w:szCs w:val="21"/>
          <w:highlight w:val="none"/>
        </w:rPr>
        <w:t>除非供应商提供充足证据证明该情形不会影响到采购公正性；</w:t>
      </w:r>
    </w:p>
    <w:p w14:paraId="2C29CE64">
      <w:pPr>
        <w:jc w:val="left"/>
        <w:rPr>
          <w:rFonts w:hint="eastAsia" w:ascii="微软雅黑" w:hAnsi="微软雅黑" w:eastAsia="微软雅黑"/>
          <w:szCs w:val="21"/>
          <w:highlight w:val="none"/>
        </w:rPr>
      </w:pPr>
      <w:r>
        <w:rPr>
          <w:rFonts w:hint="eastAsia" w:ascii="微软雅黑" w:hAnsi="微软雅黑" w:eastAsia="微软雅黑"/>
          <w:szCs w:val="21"/>
          <w:highlight w:val="none"/>
        </w:rPr>
        <w:t>10. 其他法律法规规定的串通投标情形。</w:t>
      </w:r>
    </w:p>
    <w:p w14:paraId="5ADF929E">
      <w:pPr>
        <w:jc w:val="left"/>
        <w:rPr>
          <w:rFonts w:hint="eastAsia" w:ascii="微软雅黑" w:hAnsi="微软雅黑" w:eastAsia="微软雅黑"/>
          <w:szCs w:val="21"/>
          <w:highlight w:val="none"/>
        </w:rPr>
      </w:pPr>
      <w:r>
        <w:rPr>
          <w:rFonts w:hint="eastAsia" w:ascii="微软雅黑" w:hAnsi="微软雅黑" w:eastAsia="微软雅黑"/>
          <w:szCs w:val="21"/>
          <w:highlight w:val="none"/>
        </w:rPr>
        <w:t>二、关联关系认定及处罚</w:t>
      </w:r>
    </w:p>
    <w:p w14:paraId="4E088B64">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投标方之间存在以下情形的，禁止参与同一标段或者未划分标段的同一采购项目，如有下列情形予以废标处理：</w:t>
      </w:r>
    </w:p>
    <w:p w14:paraId="38D86CEC">
      <w:pPr>
        <w:jc w:val="left"/>
        <w:rPr>
          <w:rFonts w:hint="eastAsia" w:ascii="微软雅黑" w:hAnsi="微软雅黑" w:eastAsia="微软雅黑"/>
          <w:szCs w:val="21"/>
          <w:highlight w:val="none"/>
        </w:rPr>
      </w:pPr>
      <w:r>
        <w:rPr>
          <w:rFonts w:ascii="微软雅黑" w:hAnsi="微软雅黑" w:eastAsia="微软雅黑"/>
          <w:szCs w:val="21"/>
          <w:highlight w:val="none"/>
        </w:rPr>
        <w:t>1</w:t>
      </w:r>
      <w:r>
        <w:rPr>
          <w:rFonts w:hint="eastAsia" w:ascii="微软雅黑" w:hAnsi="微软雅黑" w:eastAsia="微软雅黑"/>
          <w:szCs w:val="21"/>
          <w:highlight w:val="none"/>
        </w:rPr>
        <w:t>.</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不同供应商的单位负责人或法定代表人为同一人的；</w:t>
      </w:r>
    </w:p>
    <w:p w14:paraId="61D75B4B">
      <w:pPr>
        <w:jc w:val="left"/>
        <w:rPr>
          <w:rFonts w:hint="eastAsia" w:ascii="微软雅黑" w:hAnsi="微软雅黑" w:eastAsia="微软雅黑"/>
          <w:szCs w:val="21"/>
          <w:highlight w:val="none"/>
        </w:rPr>
      </w:pPr>
      <w:r>
        <w:rPr>
          <w:rFonts w:ascii="微软雅黑" w:hAnsi="微软雅黑" w:eastAsia="微软雅黑"/>
          <w:szCs w:val="21"/>
          <w:highlight w:val="none"/>
        </w:rPr>
        <w:t>2</w:t>
      </w:r>
      <w:r>
        <w:rPr>
          <w:rFonts w:hint="eastAsia" w:ascii="微软雅黑" w:hAnsi="微软雅黑" w:eastAsia="微软雅黑"/>
          <w:szCs w:val="21"/>
          <w:highlight w:val="none"/>
        </w:rPr>
        <w:t>.</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不同投标人之间存在控股、管理关系的；</w:t>
      </w:r>
    </w:p>
    <w:p w14:paraId="1DD649FA">
      <w:pPr>
        <w:jc w:val="left"/>
        <w:rPr>
          <w:rFonts w:hint="eastAsia" w:ascii="微软雅黑" w:hAnsi="微软雅黑" w:eastAsia="微软雅黑"/>
          <w:szCs w:val="21"/>
          <w:highlight w:val="none"/>
        </w:rPr>
      </w:pPr>
      <w:r>
        <w:rPr>
          <w:rFonts w:ascii="微软雅黑" w:hAnsi="微软雅黑" w:eastAsia="微软雅黑"/>
          <w:szCs w:val="21"/>
          <w:highlight w:val="none"/>
        </w:rPr>
        <w:t>3</w:t>
      </w:r>
      <w:r>
        <w:rPr>
          <w:rFonts w:hint="eastAsia" w:ascii="微软雅黑" w:hAnsi="微软雅黑" w:eastAsia="微软雅黑"/>
          <w:szCs w:val="21"/>
          <w:highlight w:val="none"/>
        </w:rPr>
        <w:t>.</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不同投标人的股东中存在相同自然人的（如存在相同自然人股东的，但有充足证据表明能够排除相关不良影响的除外）；</w:t>
      </w:r>
    </w:p>
    <w:p w14:paraId="40E0CDB8">
      <w:pPr>
        <w:jc w:val="left"/>
        <w:rPr>
          <w:rFonts w:hint="eastAsia" w:ascii="微软雅黑" w:hAnsi="微软雅黑" w:eastAsia="微软雅黑"/>
          <w:szCs w:val="21"/>
          <w:highlight w:val="none"/>
        </w:rPr>
      </w:pPr>
      <w:r>
        <w:rPr>
          <w:rFonts w:hint="eastAsia" w:ascii="微软雅黑" w:hAnsi="微软雅黑" w:eastAsia="微软雅黑"/>
          <w:szCs w:val="21"/>
          <w:highlight w:val="none"/>
        </w:rPr>
        <w:t>4</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不同投标人存在其他关联关系影响公平公正的。</w:t>
      </w:r>
    </w:p>
    <w:p w14:paraId="0B40D3C7">
      <w:pPr>
        <w:jc w:val="left"/>
        <w:rPr>
          <w:rFonts w:hint="eastAsia" w:ascii="微软雅黑" w:hAnsi="微软雅黑" w:eastAsia="微软雅黑"/>
          <w:szCs w:val="21"/>
          <w:highlight w:val="none"/>
        </w:rPr>
      </w:pPr>
    </w:p>
    <w:p w14:paraId="51093B27">
      <w:pPr>
        <w:jc w:val="left"/>
        <w:rPr>
          <w:rFonts w:hint="eastAsia" w:ascii="微软雅黑" w:hAnsi="微软雅黑" w:eastAsia="微软雅黑"/>
          <w:szCs w:val="21"/>
          <w:highlight w:val="none"/>
        </w:rPr>
      </w:pPr>
      <w:r>
        <w:rPr>
          <w:rFonts w:hint="eastAsia" w:ascii="微软雅黑" w:hAnsi="微软雅黑" w:eastAsia="微软雅黑"/>
          <w:szCs w:val="21"/>
          <w:highlight w:val="none"/>
        </w:rPr>
        <w:t>以上情形及处罚规定我方均已知悉，如违反上述规定，</w:t>
      </w:r>
      <w:r>
        <w:rPr>
          <w:rFonts w:hint="eastAsia" w:ascii="微软雅黑" w:hAnsi="微软雅黑" w:eastAsia="微软雅黑"/>
          <w:szCs w:val="21"/>
          <w:highlight w:val="none"/>
          <w:lang w:eastAsia="zh-Hans"/>
        </w:rPr>
        <w:t>本公司</w:t>
      </w:r>
      <w:r>
        <w:rPr>
          <w:rFonts w:ascii="微软雅黑" w:hAnsi="微软雅黑" w:eastAsia="微软雅黑"/>
          <w:szCs w:val="21"/>
          <w:highlight w:val="none"/>
          <w:lang w:eastAsia="zh-Hans"/>
        </w:rPr>
        <w:t>/</w:t>
      </w:r>
      <w:r>
        <w:rPr>
          <w:rFonts w:hint="eastAsia" w:ascii="微软雅黑" w:hAnsi="微软雅黑" w:eastAsia="微软雅黑"/>
          <w:szCs w:val="21"/>
          <w:highlight w:val="none"/>
        </w:rPr>
        <w:t>本人自愿承担相关处罚。</w:t>
      </w:r>
    </w:p>
    <w:p w14:paraId="6A2F3A68">
      <w:pPr>
        <w:jc w:val="left"/>
        <w:rPr>
          <w:rFonts w:hint="eastAsia" w:ascii="微软雅黑" w:hAnsi="微软雅黑" w:eastAsia="微软雅黑"/>
          <w:szCs w:val="21"/>
          <w:highlight w:val="none"/>
        </w:rPr>
      </w:pPr>
    </w:p>
    <w:p w14:paraId="30E08F8F">
      <w:pPr>
        <w:jc w:val="left"/>
        <w:rPr>
          <w:rFonts w:hint="eastAsia" w:ascii="微软雅黑" w:hAnsi="微软雅黑" w:eastAsia="微软雅黑"/>
          <w:szCs w:val="21"/>
          <w:highlight w:val="none"/>
        </w:rPr>
      </w:pPr>
    </w:p>
    <w:p w14:paraId="31F02A61">
      <w:pPr>
        <w:jc w:val="left"/>
        <w:rPr>
          <w:rFonts w:hint="eastAsia" w:ascii="微软雅黑" w:hAnsi="微软雅黑" w:eastAsia="微软雅黑"/>
          <w:szCs w:val="21"/>
          <w:highlight w:val="none"/>
        </w:rPr>
      </w:pPr>
    </w:p>
    <w:p w14:paraId="6596A560">
      <w:pPr>
        <w:jc w:val="left"/>
        <w:rPr>
          <w:rFonts w:hint="eastAsia" w:ascii="微软雅黑" w:hAnsi="微软雅黑" w:eastAsia="微软雅黑"/>
          <w:szCs w:val="21"/>
          <w:highlight w:val="none"/>
        </w:rPr>
      </w:pPr>
    </w:p>
    <w:p w14:paraId="5F53416B">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投标单位（盖章）：</w:t>
      </w:r>
    </w:p>
    <w:p w14:paraId="18019524">
      <w:pPr>
        <w:jc w:val="left"/>
        <w:rPr>
          <w:rFonts w:hint="eastAsia" w:ascii="微软雅黑" w:hAnsi="微软雅黑" w:eastAsia="微软雅黑"/>
          <w:szCs w:val="21"/>
          <w:highlight w:val="none"/>
        </w:rPr>
      </w:pPr>
    </w:p>
    <w:p w14:paraId="0FC355CE">
      <w:pPr>
        <w:jc w:val="left"/>
        <w:rPr>
          <w:rFonts w:hint="eastAsia" w:ascii="微软雅黑" w:hAnsi="微软雅黑" w:eastAsia="微软雅黑"/>
          <w:szCs w:val="21"/>
          <w:highlight w:val="none"/>
        </w:rPr>
      </w:pPr>
    </w:p>
    <w:p w14:paraId="53BF7D80">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法人或授权代理人（签字）：</w:t>
      </w:r>
    </w:p>
    <w:p w14:paraId="743E8425">
      <w:pPr>
        <w:jc w:val="left"/>
        <w:rPr>
          <w:rFonts w:hint="eastAsia" w:ascii="微软雅黑" w:hAnsi="微软雅黑" w:eastAsia="微软雅黑"/>
          <w:szCs w:val="21"/>
          <w:highlight w:val="none"/>
        </w:rPr>
      </w:pPr>
    </w:p>
    <w:p w14:paraId="1D6067D2">
      <w:pPr>
        <w:jc w:val="left"/>
        <w:rPr>
          <w:rFonts w:hint="eastAsia" w:ascii="微软雅黑" w:hAnsi="微软雅黑" w:eastAsia="微软雅黑"/>
          <w:szCs w:val="21"/>
          <w:highlight w:val="none"/>
        </w:rPr>
      </w:pPr>
    </w:p>
    <w:p w14:paraId="167B97D1">
      <w:pPr>
        <w:jc w:val="left"/>
        <w:rPr>
          <w:rFonts w:hint="eastAsia" w:ascii="微软雅黑" w:hAnsi="微软雅黑" w:eastAsia="微软雅黑"/>
          <w:szCs w:val="21"/>
          <w:highlight w:val="none"/>
        </w:rPr>
      </w:pPr>
      <w:r>
        <w:rPr>
          <w:rFonts w:hint="eastAsia" w:ascii="微软雅黑" w:hAnsi="微软雅黑" w:eastAsia="微软雅黑"/>
          <w:szCs w:val="21"/>
          <w:highlight w:val="none"/>
        </w:rPr>
        <w:t>年     月     日</w:t>
      </w:r>
    </w:p>
    <w:p w14:paraId="1E7BED11">
      <w:pPr>
        <w:jc w:val="left"/>
        <w:rPr>
          <w:rFonts w:hint="eastAsia" w:ascii="微软雅黑" w:hAnsi="微软雅黑" w:eastAsia="微软雅黑"/>
          <w:szCs w:val="21"/>
          <w:highlight w:val="none"/>
        </w:rPr>
      </w:pPr>
    </w:p>
    <w:p w14:paraId="13426B3D">
      <w:pPr>
        <w:jc w:val="left"/>
        <w:rPr>
          <w:rFonts w:hint="eastAsia" w:ascii="微软雅黑" w:hAnsi="微软雅黑" w:eastAsia="微软雅黑"/>
          <w:szCs w:val="21"/>
          <w:highlight w:val="none"/>
        </w:rPr>
      </w:pPr>
    </w:p>
    <w:p w14:paraId="7618B044">
      <w:pPr>
        <w:jc w:val="left"/>
        <w:rPr>
          <w:rFonts w:hint="eastAsia" w:ascii="微软雅黑" w:hAnsi="微软雅黑" w:eastAsia="微软雅黑"/>
          <w:szCs w:val="21"/>
          <w:highlight w:val="none"/>
        </w:rPr>
      </w:pPr>
    </w:p>
    <w:bookmarkEnd w:id="71"/>
    <w:bookmarkEnd w:id="72"/>
    <w:bookmarkEnd w:id="73"/>
    <w:bookmarkEnd w:id="74"/>
    <w:bookmarkEnd w:id="75"/>
    <w:bookmarkEnd w:id="76"/>
    <w:p w14:paraId="2C2F07E2">
      <w:pPr>
        <w:pStyle w:val="3"/>
        <w:spacing w:before="156"/>
        <w:jc w:val="left"/>
        <w:rPr>
          <w:rFonts w:hint="eastAsia" w:ascii="楷体" w:hAnsi="楷体" w:eastAsia="楷体"/>
          <w:highlight w:val="none"/>
        </w:rPr>
      </w:pPr>
      <w:bookmarkStart w:id="102" w:name="_Toc10085"/>
      <w:bookmarkStart w:id="103" w:name="_Toc8266"/>
      <w:bookmarkStart w:id="104" w:name="_Toc4942"/>
      <w:bookmarkStart w:id="105" w:name="_Toc464575212"/>
      <w:bookmarkStart w:id="106" w:name="_Toc117166999"/>
      <w:bookmarkStart w:id="107" w:name="_Toc1538511259"/>
      <w:r>
        <w:rPr>
          <w:rFonts w:hint="eastAsia" w:ascii="楷体" w:hAnsi="楷体" w:eastAsia="楷体"/>
          <w:highlight w:val="none"/>
        </w:rPr>
        <w:t>附件三、法定代表人证明书和法定代表人授权委托书格式</w:t>
      </w:r>
      <w:bookmarkEnd w:id="102"/>
      <w:bookmarkEnd w:id="103"/>
      <w:bookmarkEnd w:id="104"/>
      <w:bookmarkEnd w:id="105"/>
      <w:bookmarkEnd w:id="106"/>
      <w:bookmarkEnd w:id="107"/>
    </w:p>
    <w:p w14:paraId="234E213A">
      <w:pPr>
        <w:spacing w:after="156" w:afterLines="50" w:line="360" w:lineRule="auto"/>
        <w:ind w:left="420"/>
        <w:jc w:val="center"/>
        <w:rPr>
          <w:rFonts w:hint="eastAsia" w:ascii="微软雅黑" w:hAnsi="微软雅黑" w:eastAsia="微软雅黑"/>
          <w:b/>
          <w:bCs/>
          <w:color w:val="000000"/>
          <w:sz w:val="28"/>
          <w:szCs w:val="28"/>
          <w:highlight w:val="none"/>
        </w:rPr>
      </w:pPr>
      <w:r>
        <w:rPr>
          <w:rFonts w:hint="eastAsia" w:ascii="微软雅黑" w:hAnsi="微软雅黑" w:eastAsia="微软雅黑"/>
          <w:b/>
          <w:bCs/>
          <w:color w:val="000000"/>
          <w:sz w:val="28"/>
          <w:szCs w:val="28"/>
          <w:highlight w:val="none"/>
        </w:rPr>
        <w:t>法定代表人身份证明书</w:t>
      </w:r>
    </w:p>
    <w:p w14:paraId="075D636C">
      <w:pPr>
        <w:spacing w:after="156" w:afterLines="50" w:line="360" w:lineRule="auto"/>
        <w:ind w:left="420"/>
        <w:jc w:val="center"/>
        <w:rPr>
          <w:rFonts w:hint="eastAsia" w:ascii="微软雅黑" w:hAnsi="微软雅黑" w:eastAsia="微软雅黑"/>
          <w:b/>
          <w:bCs/>
          <w:color w:val="000000"/>
          <w:sz w:val="28"/>
          <w:szCs w:val="28"/>
          <w:highlight w:val="none"/>
        </w:rPr>
      </w:pPr>
    </w:p>
    <w:p w14:paraId="24BBE64D">
      <w:pPr>
        <w:spacing w:after="156" w:afterLines="50" w:line="360" w:lineRule="auto"/>
        <w:rPr>
          <w:rFonts w:hint="eastAsia" w:ascii="微软雅黑" w:hAnsi="微软雅黑" w:eastAsia="微软雅黑"/>
          <w:color w:val="000000"/>
          <w:szCs w:val="21"/>
          <w:highlight w:val="none"/>
          <w:u w:val="single"/>
        </w:rPr>
      </w:pPr>
      <w:r>
        <w:rPr>
          <w:rFonts w:hint="eastAsia" w:ascii="微软雅黑" w:hAnsi="微软雅黑" w:eastAsia="微软雅黑"/>
          <w:color w:val="000000"/>
          <w:szCs w:val="21"/>
          <w:highlight w:val="none"/>
        </w:rPr>
        <w:t>单位名称：</w:t>
      </w:r>
      <w:r>
        <w:rPr>
          <w:rFonts w:hint="eastAsia" w:ascii="微软雅黑" w:hAnsi="微软雅黑" w:eastAsia="微软雅黑"/>
          <w:color w:val="000000"/>
          <w:szCs w:val="21"/>
          <w:highlight w:val="none"/>
          <w:u w:val="single"/>
        </w:rPr>
        <w:t xml:space="preserve">                        </w:t>
      </w:r>
    </w:p>
    <w:p w14:paraId="577ED710">
      <w:pPr>
        <w:spacing w:after="156" w:afterLines="50" w:line="360" w:lineRule="auto"/>
        <w:rPr>
          <w:rFonts w:hint="eastAsia" w:ascii="微软雅黑" w:hAnsi="微软雅黑" w:eastAsia="微软雅黑"/>
          <w:color w:val="000000"/>
          <w:szCs w:val="21"/>
          <w:highlight w:val="none"/>
          <w:u w:val="single"/>
        </w:rPr>
      </w:pPr>
      <w:r>
        <w:rPr>
          <w:rFonts w:hint="eastAsia" w:ascii="微软雅黑" w:hAnsi="微软雅黑" w:eastAsia="微软雅黑"/>
          <w:color w:val="000000"/>
          <w:szCs w:val="21"/>
          <w:highlight w:val="none"/>
        </w:rPr>
        <w:t>地</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址：</w:t>
      </w:r>
      <w:r>
        <w:rPr>
          <w:rFonts w:hint="eastAsia" w:ascii="微软雅黑" w:hAnsi="微软雅黑" w:eastAsia="微软雅黑"/>
          <w:color w:val="000000"/>
          <w:szCs w:val="21"/>
          <w:highlight w:val="none"/>
          <w:u w:val="single"/>
        </w:rPr>
        <w:t xml:space="preserve">                        </w:t>
      </w:r>
    </w:p>
    <w:p w14:paraId="380D5868">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姓名：</w:t>
      </w:r>
      <w:r>
        <w:rPr>
          <w:rFonts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性别</w:t>
      </w:r>
      <w:r>
        <w:rPr>
          <w:rFonts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身份证号：</w:t>
      </w:r>
      <w:r>
        <w:rPr>
          <w:rFonts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年龄：</w:t>
      </w:r>
      <w:r>
        <w:rPr>
          <w:rFonts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职务：</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，系</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 xml:space="preserve">的法定代表人。 </w:t>
      </w:r>
    </w:p>
    <w:p w14:paraId="73054E37">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特此证明。</w:t>
      </w:r>
      <w:r>
        <w:rPr>
          <w:rFonts w:hint="eastAsia" w:ascii="微软雅黑" w:hAnsi="微软雅黑" w:eastAsia="微软雅黑"/>
          <w:color w:val="000000"/>
          <w:szCs w:val="21"/>
          <w:highlight w:val="none"/>
        </w:rPr>
        <w:tab/>
      </w:r>
    </w:p>
    <w:p w14:paraId="2D969C47">
      <w:pPr>
        <w:spacing w:after="156" w:afterLines="50" w:line="360" w:lineRule="auto"/>
        <w:rPr>
          <w:rFonts w:hint="eastAsia" w:ascii="微软雅黑" w:hAnsi="微软雅黑" w:eastAsia="微软雅黑"/>
          <w:color w:val="000000"/>
          <w:szCs w:val="21"/>
          <w:highlight w:val="none"/>
        </w:rPr>
      </w:pPr>
    </w:p>
    <w:p w14:paraId="05F612DC">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投标单位全称</w:t>
      </w:r>
      <w:r>
        <w:rPr>
          <w:rFonts w:ascii="微软雅黑" w:hAnsi="微软雅黑" w:eastAsia="微软雅黑"/>
          <w:color w:val="000000"/>
          <w:szCs w:val="21"/>
          <w:highlight w:val="none"/>
        </w:rPr>
        <w:t xml:space="preserve"> </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（盖章或电子签章）</w:t>
      </w:r>
    </w:p>
    <w:p w14:paraId="4C3E24D7">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日</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期：</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年</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月</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日</w:t>
      </w:r>
    </w:p>
    <w:p w14:paraId="07181850">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附：法定代表人身份证复印件加盖投标人公章</w:t>
      </w:r>
    </w:p>
    <w:p w14:paraId="42695E20">
      <w:pPr>
        <w:spacing w:after="156" w:afterLines="50" w:line="360" w:lineRule="exact"/>
        <w:rPr>
          <w:rFonts w:hint="eastAsia" w:ascii="等线" w:hAnsi="等线" w:eastAsia="等线"/>
          <w:color w:val="000000"/>
          <w:sz w:val="24"/>
          <w:szCs w:val="24"/>
          <w:highlight w:val="none"/>
        </w:rPr>
      </w:pPr>
    </w:p>
    <w:p w14:paraId="5F4CB9C8">
      <w:pPr>
        <w:spacing w:after="156" w:afterLines="50" w:line="360" w:lineRule="exact"/>
        <w:rPr>
          <w:rFonts w:hint="eastAsia" w:ascii="等线" w:hAnsi="等线" w:eastAsia="等线"/>
          <w:color w:val="000000"/>
          <w:sz w:val="24"/>
          <w:szCs w:val="24"/>
          <w:highlight w:val="none"/>
        </w:rPr>
      </w:pPr>
    </w:p>
    <w:p w14:paraId="1D80046D">
      <w:pPr>
        <w:rPr>
          <w:rFonts w:hint="eastAsia" w:ascii="微软雅黑" w:hAnsi="微软雅黑" w:eastAsia="微软雅黑"/>
          <w:b/>
          <w:bCs/>
          <w:color w:val="000000"/>
          <w:sz w:val="28"/>
          <w:szCs w:val="28"/>
          <w:highlight w:val="none"/>
        </w:rPr>
      </w:pPr>
      <w:r>
        <w:rPr>
          <w:rFonts w:hint="eastAsia" w:ascii="微软雅黑" w:hAnsi="微软雅黑" w:eastAsia="微软雅黑"/>
          <w:b/>
          <w:bCs/>
          <w:color w:val="000000"/>
          <w:sz w:val="28"/>
          <w:szCs w:val="28"/>
          <w:highlight w:val="none"/>
        </w:rPr>
        <w:br w:type="page"/>
      </w:r>
    </w:p>
    <w:p w14:paraId="53368A1C">
      <w:pPr>
        <w:spacing w:after="156" w:afterLines="50" w:line="360" w:lineRule="auto"/>
        <w:ind w:left="420"/>
        <w:jc w:val="center"/>
        <w:rPr>
          <w:rFonts w:hint="eastAsia" w:ascii="微软雅黑" w:hAnsi="微软雅黑" w:eastAsia="微软雅黑"/>
          <w:b/>
          <w:bCs/>
          <w:color w:val="000000"/>
          <w:sz w:val="28"/>
          <w:szCs w:val="28"/>
          <w:highlight w:val="none"/>
        </w:rPr>
      </w:pPr>
      <w:r>
        <w:rPr>
          <w:rFonts w:hint="eastAsia" w:ascii="微软雅黑" w:hAnsi="微软雅黑" w:eastAsia="微软雅黑"/>
          <w:b/>
          <w:bCs/>
          <w:color w:val="000000"/>
          <w:sz w:val="28"/>
          <w:szCs w:val="28"/>
          <w:highlight w:val="none"/>
        </w:rPr>
        <w:t>投标文件签署授权委托书</w:t>
      </w:r>
    </w:p>
    <w:p w14:paraId="6E5D3D12">
      <w:pPr>
        <w:spacing w:after="156" w:afterLines="50" w:line="360" w:lineRule="auto"/>
        <w:ind w:left="420"/>
        <w:jc w:val="center"/>
        <w:rPr>
          <w:rFonts w:hint="eastAsia" w:ascii="微软雅黑" w:hAnsi="微软雅黑" w:eastAsia="微软雅黑"/>
          <w:b/>
          <w:bCs/>
          <w:color w:val="000000"/>
          <w:sz w:val="28"/>
          <w:szCs w:val="28"/>
          <w:highlight w:val="none"/>
        </w:rPr>
      </w:pPr>
    </w:p>
    <w:p w14:paraId="09FCC0C5">
      <w:pPr>
        <w:spacing w:after="156" w:afterLines="50" w:line="360" w:lineRule="auto"/>
        <w:ind w:firstLine="508" w:firstLineChars="242"/>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本授权委托书声明：（姓名）</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系</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（投标人名称）的法定代表人，现授权委托（姓名）</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为我公司的代理人，以本公司名义参加</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项目投标活动；授权范围如下：</w:t>
      </w:r>
    </w:p>
    <w:p w14:paraId="407C0854">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1、签署我公司的投标文件及与投标活动有关的其他相关文件；</w:t>
      </w:r>
    </w:p>
    <w:p w14:paraId="71585248">
      <w:pPr>
        <w:spacing w:after="156" w:afterLines="50" w:line="360" w:lineRule="auto"/>
        <w:rPr>
          <w:rFonts w:hint="eastAsia" w:ascii="微软雅黑" w:hAnsi="微软雅黑" w:eastAsia="微软雅黑"/>
          <w:color w:val="000000"/>
          <w:szCs w:val="21"/>
          <w:highlight w:val="none"/>
        </w:rPr>
      </w:pPr>
      <w:r>
        <w:rPr>
          <w:rFonts w:ascii="微软雅黑" w:hAnsi="微软雅黑" w:eastAsia="微软雅黑"/>
          <w:color w:val="000000"/>
          <w:szCs w:val="21"/>
          <w:highlight w:val="none"/>
        </w:rPr>
        <w:t>2</w:t>
      </w:r>
      <w:r>
        <w:rPr>
          <w:rFonts w:hint="eastAsia" w:ascii="微软雅黑" w:hAnsi="微软雅黑" w:eastAsia="微软雅黑"/>
          <w:color w:val="000000"/>
          <w:szCs w:val="21"/>
          <w:highlight w:val="none"/>
        </w:rPr>
        <w:t>、参加答疑会、开标、澄清等与投标有关的活动；</w:t>
      </w:r>
    </w:p>
    <w:p w14:paraId="64599734">
      <w:pPr>
        <w:spacing w:after="156" w:afterLines="50" w:line="360" w:lineRule="auto"/>
        <w:rPr>
          <w:rFonts w:hint="eastAsia" w:ascii="微软雅黑" w:hAnsi="微软雅黑" w:eastAsia="微软雅黑"/>
          <w:color w:val="000000"/>
          <w:szCs w:val="21"/>
          <w:highlight w:val="none"/>
        </w:rPr>
      </w:pPr>
      <w:r>
        <w:rPr>
          <w:rFonts w:ascii="微软雅黑" w:hAnsi="微软雅黑" w:eastAsia="微软雅黑"/>
          <w:color w:val="000000"/>
          <w:szCs w:val="21"/>
          <w:highlight w:val="none"/>
        </w:rPr>
        <w:t>3</w:t>
      </w:r>
      <w:r>
        <w:rPr>
          <w:rFonts w:hint="eastAsia" w:ascii="微软雅黑" w:hAnsi="微软雅黑" w:eastAsia="微软雅黑"/>
          <w:color w:val="000000"/>
          <w:szCs w:val="21"/>
          <w:highlight w:val="none"/>
        </w:rPr>
        <w:t>、递交、领取招投标活动期间的相关文件资料、通知函件；</w:t>
      </w:r>
    </w:p>
    <w:p w14:paraId="5C0A9A41">
      <w:pPr>
        <w:spacing w:after="156" w:afterLines="50" w:line="360" w:lineRule="auto"/>
        <w:rPr>
          <w:rFonts w:hint="eastAsia" w:ascii="微软雅黑" w:hAnsi="微软雅黑" w:eastAsia="微软雅黑"/>
          <w:color w:val="000000"/>
          <w:szCs w:val="21"/>
          <w:highlight w:val="none"/>
        </w:rPr>
      </w:pPr>
      <w:r>
        <w:rPr>
          <w:rFonts w:ascii="微软雅黑" w:hAnsi="微软雅黑" w:eastAsia="微软雅黑"/>
          <w:color w:val="000000"/>
          <w:szCs w:val="21"/>
          <w:highlight w:val="none"/>
        </w:rPr>
        <w:t>4</w:t>
      </w:r>
      <w:r>
        <w:rPr>
          <w:rFonts w:hint="eastAsia" w:ascii="微软雅黑" w:hAnsi="微软雅黑" w:eastAsia="微软雅黑"/>
          <w:color w:val="000000"/>
          <w:szCs w:val="21"/>
          <w:highlight w:val="none"/>
        </w:rPr>
        <w:t>、参加合同谈判，代为签署合同。</w:t>
      </w:r>
    </w:p>
    <w:p w14:paraId="1DCC8CD4">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代理人上述行为及处理与之有关的一切事务，我均予以承认。</w:t>
      </w:r>
    </w:p>
    <w:p w14:paraId="4B4352FE">
      <w:pPr>
        <w:spacing w:after="156" w:afterLines="50" w:line="360" w:lineRule="auto"/>
        <w:rPr>
          <w:rFonts w:hint="eastAsia" w:ascii="微软雅黑" w:hAnsi="微软雅黑" w:eastAsia="微软雅黑"/>
          <w:color w:val="000000"/>
          <w:szCs w:val="21"/>
          <w:highlight w:val="none"/>
          <w:u w:val="single"/>
        </w:rPr>
      </w:pPr>
      <w:r>
        <w:rPr>
          <w:rFonts w:hint="eastAsia" w:ascii="微软雅黑" w:hAnsi="微软雅黑" w:eastAsia="微软雅黑"/>
          <w:color w:val="000000"/>
          <w:szCs w:val="21"/>
          <w:highlight w:val="none"/>
        </w:rPr>
        <w:t>代理人无转委托权，特此委托。</w:t>
      </w:r>
    </w:p>
    <w:p w14:paraId="70D3BA07">
      <w:pPr>
        <w:spacing w:after="156" w:afterLines="50" w:line="360" w:lineRule="auto"/>
        <w:rPr>
          <w:rFonts w:hint="eastAsia" w:ascii="微软雅黑" w:hAnsi="微软雅黑" w:eastAsia="微软雅黑"/>
          <w:color w:val="000000"/>
          <w:szCs w:val="21"/>
          <w:highlight w:val="none"/>
          <w:u w:val="single"/>
        </w:rPr>
      </w:pPr>
      <w:r>
        <w:rPr>
          <w:rFonts w:hint="eastAsia" w:ascii="微软雅黑" w:hAnsi="微软雅黑" w:eastAsia="微软雅黑"/>
          <w:color w:val="000000"/>
          <w:szCs w:val="21"/>
          <w:highlight w:val="none"/>
        </w:rPr>
        <w:t>代理人</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性别</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年龄</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职务</w:t>
      </w:r>
      <w:r>
        <w:rPr>
          <w:rFonts w:hint="eastAsia" w:ascii="微软雅黑" w:hAnsi="微软雅黑" w:eastAsia="微软雅黑" w:cs="宋体"/>
          <w:color w:val="000000"/>
          <w:szCs w:val="21"/>
          <w:highlight w:val="none"/>
        </w:rPr>
        <w:t>∶</w:t>
      </w:r>
      <w:r>
        <w:rPr>
          <w:rFonts w:hint="eastAsia" w:ascii="微软雅黑" w:hAnsi="微软雅黑" w:eastAsia="微软雅黑"/>
          <w:color w:val="000000"/>
          <w:szCs w:val="21"/>
          <w:highlight w:val="none"/>
          <w:u w:val="single"/>
        </w:rPr>
        <w:t xml:space="preserve">          </w:t>
      </w:r>
    </w:p>
    <w:p w14:paraId="0594A3FF">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身份证号码</w:t>
      </w:r>
      <w:r>
        <w:rPr>
          <w:rFonts w:hint="eastAsia" w:ascii="微软雅黑" w:hAnsi="微软雅黑" w:eastAsia="微软雅黑" w:cs="宋体"/>
          <w:color w:val="000000"/>
          <w:szCs w:val="21"/>
          <w:highlight w:val="none"/>
        </w:rPr>
        <w:t>∶</w:t>
      </w:r>
      <w:r>
        <w:rPr>
          <w:rFonts w:hint="eastAsia"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u w:val="single"/>
        </w:rPr>
        <w:t xml:space="preserve">               </w:t>
      </w:r>
    </w:p>
    <w:p w14:paraId="32640E15">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投标单位全称</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（签字盖章或电子签章））</w:t>
      </w:r>
    </w:p>
    <w:p w14:paraId="437D080E">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法定代表人</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rPr>
        <w:t xml:space="preserve"> </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（签字盖章或电子签章）</w:t>
      </w:r>
    </w:p>
    <w:p w14:paraId="2EAAE56B">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授权委托日期</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年</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月</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日</w:t>
      </w:r>
    </w:p>
    <w:p w14:paraId="6D2FF5A9">
      <w:pPr>
        <w:spacing w:after="156" w:afterLines="50" w:line="360" w:lineRule="auto"/>
        <w:rPr>
          <w:rFonts w:hint="eastAsia" w:ascii="微软雅黑" w:hAnsi="微软雅黑" w:eastAsia="微软雅黑"/>
          <w:color w:val="000000"/>
          <w:szCs w:val="21"/>
          <w:highlight w:val="none"/>
        </w:rPr>
      </w:pPr>
    </w:p>
    <w:p w14:paraId="63F052A6">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附：委托代理人身份证复印件加盖投标人公章</w:t>
      </w:r>
    </w:p>
    <w:p w14:paraId="159F86B2">
      <w:pPr>
        <w:pStyle w:val="3"/>
        <w:spacing w:before="156"/>
        <w:jc w:val="left"/>
        <w:rPr>
          <w:rFonts w:hint="eastAsia" w:ascii="楷体" w:hAnsi="楷体" w:eastAsia="楷体"/>
          <w:highlight w:val="none"/>
        </w:rPr>
      </w:pPr>
      <w:bookmarkStart w:id="108" w:name="_Toc390"/>
      <w:bookmarkStart w:id="109" w:name="_Toc2055620133"/>
      <w:bookmarkStart w:id="110" w:name="_Toc30438"/>
      <w:bookmarkStart w:id="111" w:name="_Toc3573"/>
      <w:r>
        <w:rPr>
          <w:rFonts w:hint="eastAsia" w:ascii="楷体" w:hAnsi="楷体" w:eastAsia="楷体"/>
          <w:highlight w:val="none"/>
        </w:rPr>
        <w:t>附件四：保险购买承诺</w:t>
      </w:r>
      <w:bookmarkEnd w:id="108"/>
      <w:bookmarkEnd w:id="109"/>
      <w:bookmarkEnd w:id="110"/>
      <w:bookmarkEnd w:id="111"/>
    </w:p>
    <w:p w14:paraId="23FF0CB8">
      <w:pPr>
        <w:spacing w:line="360" w:lineRule="auto"/>
        <w:jc w:val="center"/>
        <w:rPr>
          <w:rFonts w:hint="eastAsia" w:ascii="微软雅黑" w:hAnsi="微软雅黑" w:eastAsia="微软雅黑"/>
          <w:b/>
          <w:sz w:val="28"/>
          <w:highlight w:val="none"/>
        </w:rPr>
      </w:pPr>
      <w:r>
        <w:rPr>
          <w:rFonts w:hint="eastAsia" w:ascii="微软雅黑" w:hAnsi="微软雅黑" w:eastAsia="微软雅黑"/>
          <w:b/>
          <w:sz w:val="28"/>
          <w:highlight w:val="none"/>
        </w:rPr>
        <w:t>保险购买服务承诺</w:t>
      </w:r>
    </w:p>
    <w:p w14:paraId="0A97AF36">
      <w:pPr>
        <w:rPr>
          <w:rFonts w:hint="eastAsia" w:ascii="微软雅黑" w:hAnsi="微软雅黑" w:eastAsia="微软雅黑"/>
          <w:b/>
          <w:bCs/>
          <w:color w:val="000000"/>
          <w:szCs w:val="21"/>
          <w:highlight w:val="none"/>
        </w:rPr>
      </w:pPr>
      <w:r>
        <w:rPr>
          <w:rFonts w:hint="eastAsia"/>
          <w:highlight w:val="none"/>
        </w:rPr>
        <w:t>说明：购买保险保单等材料+购买服务承诺。</w:t>
      </w:r>
      <w:r>
        <w:rPr>
          <w:rFonts w:hint="eastAsia"/>
          <w:highlight w:val="none"/>
        </w:rPr>
        <w:tab/>
      </w:r>
    </w:p>
    <w:p w14:paraId="78295F37">
      <w:pPr>
        <w:spacing w:after="156" w:afterLines="50" w:line="360" w:lineRule="auto"/>
        <w:rPr>
          <w:rFonts w:hint="eastAsia" w:ascii="微软雅黑" w:hAnsi="微软雅黑" w:eastAsia="微软雅黑"/>
          <w:b/>
          <w:color w:val="000000"/>
          <w:szCs w:val="21"/>
          <w:highlight w:val="none"/>
        </w:rPr>
      </w:pPr>
      <w:r>
        <w:rPr>
          <w:rFonts w:hint="eastAsia" w:ascii="微软雅黑" w:hAnsi="微软雅黑" w:eastAsia="微软雅黑"/>
          <w:b/>
          <w:bCs/>
          <w:color w:val="000000"/>
          <w:szCs w:val="21"/>
          <w:highlight w:val="none"/>
        </w:rPr>
        <w:t>致上海数智世界工业科技集团有限公司</w:t>
      </w:r>
      <w:r>
        <w:rPr>
          <w:rFonts w:hint="eastAsia" w:ascii="微软雅黑" w:hAnsi="微软雅黑" w:eastAsia="微软雅黑"/>
          <w:b/>
          <w:color w:val="000000"/>
          <w:szCs w:val="21"/>
          <w:highlight w:val="none"/>
        </w:rPr>
        <w:t>：</w:t>
      </w:r>
    </w:p>
    <w:p w14:paraId="6636AE73">
      <w:pPr>
        <w:snapToGrid w:val="0"/>
        <w:spacing w:line="360" w:lineRule="auto"/>
        <w:rPr>
          <w:rFonts w:hint="eastAsia" w:ascii="微软雅黑" w:hAnsi="微软雅黑" w:eastAsia="微软雅黑" w:cs="楷体"/>
          <w:color w:val="000000"/>
          <w:szCs w:val="21"/>
          <w:highlight w:val="none"/>
        </w:rPr>
      </w:pPr>
      <w:r>
        <w:rPr>
          <w:rFonts w:ascii="微软雅黑" w:hAnsi="微软雅黑" w:eastAsia="微软雅黑" w:cs="楷体"/>
          <w:color w:val="000000"/>
          <w:szCs w:val="21"/>
          <w:highlight w:val="none"/>
        </w:rPr>
        <w:t xml:space="preserve">     </w:t>
      </w:r>
      <w:r>
        <w:rPr>
          <w:rFonts w:hint="eastAsia" w:ascii="微软雅黑" w:hAnsi="微软雅黑" w:eastAsia="微软雅黑" w:cs="楷体"/>
          <w:color w:val="000000"/>
          <w:szCs w:val="21"/>
          <w:highlight w:val="none"/>
        </w:rPr>
        <w:t>根据2026年上海数智世界工业科技集团有限公司公路运输服务项目的招标文件，我方经考察和研究上述招标文件及其他有关文件，并考虑了全部</w:t>
      </w:r>
      <w:r>
        <w:rPr>
          <w:rFonts w:hint="eastAsia" w:ascii="微软雅黑" w:hAnsi="微软雅黑" w:eastAsia="微软雅黑"/>
          <w:color w:val="000000"/>
          <w:szCs w:val="21"/>
          <w:highlight w:val="none"/>
        </w:rPr>
        <w:t>潜在的所有风险后，</w:t>
      </w:r>
      <w:r>
        <w:rPr>
          <w:rFonts w:hint="eastAsia" w:ascii="微软雅黑" w:hAnsi="微软雅黑" w:eastAsia="微软雅黑" w:cs="楷体"/>
          <w:color w:val="000000"/>
          <w:szCs w:val="21"/>
          <w:highlight w:val="none"/>
        </w:rPr>
        <w:t>承诺并同意如下：</w:t>
      </w:r>
    </w:p>
    <w:p w14:paraId="5ACF5A27">
      <w:pPr>
        <w:spacing w:line="360" w:lineRule="auto"/>
        <w:rPr>
          <w:rFonts w:hint="eastAsia" w:ascii="微软雅黑" w:hAnsi="微软雅黑" w:eastAsia="微软雅黑" w:cs="楷体"/>
          <w:b/>
          <w:bCs/>
          <w:color w:val="000000"/>
          <w:szCs w:val="21"/>
          <w:highlight w:val="none"/>
          <w:u w:val="single"/>
        </w:rPr>
      </w:pPr>
      <w:r>
        <w:rPr>
          <w:rFonts w:ascii="微软雅黑" w:hAnsi="微软雅黑" w:eastAsia="微软雅黑"/>
          <w:szCs w:val="21"/>
          <w:highlight w:val="none"/>
        </w:rPr>
        <w:t xml:space="preserve">      </w:t>
      </w:r>
      <w:r>
        <w:rPr>
          <w:rFonts w:hint="eastAsia" w:ascii="微软雅黑" w:hAnsi="微软雅黑" w:eastAsia="微软雅黑"/>
          <w:szCs w:val="21"/>
          <w:highlight w:val="none"/>
        </w:rPr>
        <w:t>现我司未购买相关保险，若中标，将立即购买贵司所要求不低于3000万保险，并在项目启动前落实到位，并承担一切未购买或未及时购买保险给贵公司造成的一切损失。</w:t>
      </w:r>
      <w:r>
        <w:rPr>
          <w:rFonts w:hint="eastAsia" w:ascii="微软雅黑" w:hAnsi="微软雅黑" w:eastAsia="微软雅黑"/>
          <w:b/>
          <w:bCs/>
          <w:szCs w:val="21"/>
          <w:highlight w:val="none"/>
          <w:u w:val="single"/>
        </w:rPr>
        <w:t>若我司未及时购买贵司所要求保险，贵司有权取消我司中标资格。</w:t>
      </w:r>
    </w:p>
    <w:p w14:paraId="5FC264FB">
      <w:pPr>
        <w:spacing w:line="360" w:lineRule="auto"/>
        <w:rPr>
          <w:rFonts w:hint="eastAsia" w:ascii="微软雅黑" w:hAnsi="微软雅黑" w:eastAsia="微软雅黑" w:cs="楷体"/>
          <w:color w:val="000000"/>
          <w:szCs w:val="21"/>
          <w:highlight w:val="none"/>
        </w:rPr>
      </w:pPr>
    </w:p>
    <w:p w14:paraId="3FA8D0B8">
      <w:pPr>
        <w:spacing w:line="360" w:lineRule="auto"/>
        <w:rPr>
          <w:rFonts w:hint="eastAsia" w:ascii="微软雅黑" w:hAnsi="微软雅黑" w:eastAsia="微软雅黑" w:cs="楷体"/>
          <w:color w:val="000000"/>
          <w:szCs w:val="21"/>
          <w:highlight w:val="none"/>
        </w:rPr>
      </w:pPr>
    </w:p>
    <w:p w14:paraId="4A5BED06">
      <w:pPr>
        <w:spacing w:line="360" w:lineRule="auto"/>
        <w:rPr>
          <w:rFonts w:hint="eastAsia" w:ascii="微软雅黑" w:hAnsi="微软雅黑" w:eastAsia="微软雅黑" w:cs="楷体"/>
          <w:color w:val="000000"/>
          <w:szCs w:val="21"/>
          <w:highlight w:val="none"/>
        </w:rPr>
      </w:pPr>
    </w:p>
    <w:p w14:paraId="43A0D246">
      <w:pPr>
        <w:spacing w:line="360" w:lineRule="auto"/>
        <w:ind w:right="1800"/>
        <w:jc w:val="right"/>
        <w:rPr>
          <w:rFonts w:hint="eastAsia" w:ascii="微软雅黑" w:hAnsi="微软雅黑" w:eastAsia="微软雅黑"/>
          <w:szCs w:val="21"/>
          <w:highlight w:val="none"/>
        </w:rPr>
      </w:pPr>
      <w:r>
        <w:rPr>
          <w:rFonts w:hint="eastAsia" w:ascii="微软雅黑" w:hAnsi="微软雅黑" w:eastAsia="微软雅黑"/>
          <w:szCs w:val="21"/>
          <w:highlight w:val="none"/>
        </w:rPr>
        <w:t>承诺人（签字盖章或电子签章）</w:t>
      </w:r>
    </w:p>
    <w:p w14:paraId="0BAFB222">
      <w:pPr>
        <w:spacing w:line="360" w:lineRule="auto"/>
        <w:ind w:right="1800"/>
        <w:jc w:val="right"/>
        <w:rPr>
          <w:rFonts w:hint="eastAsia" w:ascii="微软雅黑" w:hAnsi="微软雅黑" w:eastAsia="微软雅黑"/>
          <w:szCs w:val="21"/>
          <w:highlight w:val="none"/>
        </w:rPr>
      </w:pPr>
    </w:p>
    <w:p w14:paraId="6E5168A3">
      <w:pPr>
        <w:spacing w:line="360" w:lineRule="auto"/>
        <w:ind w:right="1800"/>
        <w:jc w:val="right"/>
        <w:rPr>
          <w:rFonts w:hint="eastAsia" w:ascii="微软雅黑" w:hAnsi="微软雅黑" w:eastAsia="微软雅黑"/>
          <w:szCs w:val="21"/>
          <w:highlight w:val="none"/>
        </w:rPr>
      </w:pPr>
      <w:r>
        <w:rPr>
          <w:rFonts w:hint="eastAsia" w:ascii="微软雅黑" w:hAnsi="微软雅黑" w:eastAsia="微软雅黑"/>
          <w:szCs w:val="21"/>
          <w:highlight w:val="none"/>
          <w:u w:val="single"/>
        </w:rPr>
        <w:t xml:space="preserve">202   </w:t>
      </w:r>
      <w:r>
        <w:rPr>
          <w:rFonts w:hint="eastAsia" w:ascii="微软雅黑" w:hAnsi="微软雅黑" w:eastAsia="微软雅黑"/>
          <w:szCs w:val="21"/>
          <w:highlight w:val="none"/>
        </w:rPr>
        <w:t>年</w:t>
      </w:r>
      <w:r>
        <w:rPr>
          <w:rFonts w:ascii="微软雅黑" w:hAnsi="微软雅黑" w:eastAsia="微软雅黑"/>
          <w:szCs w:val="21"/>
          <w:highlight w:val="none"/>
          <w:u w:val="single"/>
        </w:rPr>
        <w:t xml:space="preserve">        </w:t>
      </w:r>
      <w:r>
        <w:rPr>
          <w:rFonts w:hint="eastAsia" w:ascii="微软雅黑" w:hAnsi="微软雅黑" w:eastAsia="微软雅黑"/>
          <w:szCs w:val="21"/>
          <w:highlight w:val="none"/>
        </w:rPr>
        <w:t>月</w:t>
      </w:r>
      <w:r>
        <w:rPr>
          <w:rFonts w:ascii="微软雅黑" w:hAnsi="微软雅黑" w:eastAsia="微软雅黑"/>
          <w:szCs w:val="21"/>
          <w:highlight w:val="none"/>
          <w:u w:val="single"/>
        </w:rPr>
        <w:t xml:space="preserve">        </w:t>
      </w:r>
      <w:r>
        <w:rPr>
          <w:rFonts w:hint="eastAsia" w:ascii="微软雅黑" w:hAnsi="微软雅黑" w:eastAsia="微软雅黑"/>
          <w:szCs w:val="21"/>
          <w:highlight w:val="none"/>
        </w:rPr>
        <w:t>日</w:t>
      </w:r>
    </w:p>
    <w:p w14:paraId="44282E73">
      <w:pPr>
        <w:spacing w:line="360" w:lineRule="auto"/>
        <w:jc w:val="center"/>
        <w:rPr>
          <w:rFonts w:hint="eastAsia" w:ascii="微软雅黑" w:hAnsi="微软雅黑" w:eastAsia="微软雅黑"/>
          <w:b/>
          <w:sz w:val="28"/>
          <w:highlight w:val="none"/>
        </w:rPr>
      </w:pPr>
    </w:p>
    <w:p w14:paraId="548AC7B8">
      <w:pPr>
        <w:spacing w:line="360" w:lineRule="auto"/>
        <w:jc w:val="center"/>
        <w:rPr>
          <w:rFonts w:hint="eastAsia" w:ascii="微软雅黑" w:hAnsi="微软雅黑" w:eastAsia="微软雅黑"/>
          <w:b/>
          <w:sz w:val="28"/>
          <w:highlight w:val="none"/>
        </w:rPr>
      </w:pPr>
    </w:p>
    <w:p w14:paraId="6B1CC4CB">
      <w:pPr>
        <w:spacing w:line="360" w:lineRule="auto"/>
        <w:jc w:val="center"/>
        <w:rPr>
          <w:rFonts w:hint="eastAsia" w:ascii="微软雅黑" w:hAnsi="微软雅黑" w:eastAsia="微软雅黑"/>
          <w:b/>
          <w:sz w:val="28"/>
          <w:highlight w:val="none"/>
        </w:rPr>
      </w:pPr>
    </w:p>
    <w:p w14:paraId="49B68F9D">
      <w:pPr>
        <w:spacing w:line="360" w:lineRule="auto"/>
        <w:rPr>
          <w:rFonts w:hint="eastAsia" w:ascii="微软雅黑" w:hAnsi="微软雅黑" w:eastAsia="微软雅黑"/>
          <w:b/>
          <w:sz w:val="28"/>
          <w:highlight w:val="none"/>
        </w:rPr>
      </w:pPr>
    </w:p>
    <w:p w14:paraId="7BB05B37">
      <w:pPr>
        <w:rPr>
          <w:rFonts w:hint="eastAsia" w:ascii="楷体" w:hAnsi="楷体" w:eastAsia="楷体"/>
          <w:highlight w:val="none"/>
        </w:rPr>
      </w:pPr>
      <w:r>
        <w:rPr>
          <w:rFonts w:hint="eastAsia" w:ascii="楷体" w:hAnsi="楷体" w:eastAsia="楷体"/>
          <w:highlight w:val="none"/>
        </w:rPr>
        <w:br w:type="page"/>
      </w:r>
    </w:p>
    <w:p w14:paraId="37A83D60">
      <w:pPr>
        <w:pStyle w:val="3"/>
        <w:spacing w:before="156"/>
        <w:jc w:val="left"/>
        <w:rPr>
          <w:rFonts w:hint="eastAsia" w:ascii="楷体" w:hAnsi="楷体" w:eastAsia="楷体"/>
          <w:highlight w:val="none"/>
        </w:rPr>
      </w:pPr>
      <w:bookmarkStart w:id="112" w:name="_Toc23484"/>
      <w:bookmarkStart w:id="113" w:name="_Toc28855"/>
      <w:bookmarkStart w:id="114" w:name="_Toc90662395"/>
      <w:bookmarkStart w:id="115" w:name="_Toc11720"/>
      <w:r>
        <w:rPr>
          <w:rFonts w:hint="eastAsia" w:ascii="楷体" w:hAnsi="楷体" w:eastAsia="楷体"/>
          <w:highlight w:val="none"/>
        </w:rPr>
        <w:t>附件五：投标保证金抵扣承诺函</w:t>
      </w:r>
      <w:bookmarkEnd w:id="112"/>
      <w:bookmarkEnd w:id="113"/>
      <w:bookmarkEnd w:id="114"/>
      <w:bookmarkEnd w:id="115"/>
    </w:p>
    <w:p w14:paraId="4C475109">
      <w:pPr>
        <w:spacing w:line="360" w:lineRule="auto"/>
        <w:jc w:val="center"/>
        <w:rPr>
          <w:rFonts w:hint="eastAsia" w:ascii="微软雅黑" w:hAnsi="微软雅黑" w:eastAsia="微软雅黑"/>
          <w:b/>
          <w:sz w:val="28"/>
          <w:highlight w:val="none"/>
        </w:rPr>
      </w:pPr>
      <w:r>
        <w:rPr>
          <w:rFonts w:hint="eastAsia" w:ascii="微软雅黑" w:hAnsi="微软雅黑" w:eastAsia="微软雅黑"/>
          <w:b/>
          <w:sz w:val="28"/>
          <w:highlight w:val="none"/>
        </w:rPr>
        <w:t>投标保证金抵扣承诺函</w:t>
      </w:r>
    </w:p>
    <w:p w14:paraId="66FC92D8">
      <w:pPr>
        <w:pStyle w:val="113"/>
        <w:spacing w:line="360" w:lineRule="auto"/>
        <w:ind w:left="210" w:leftChars="100" w:firstLine="480" w:firstLineChars="200"/>
        <w:rPr>
          <w:rFonts w:hint="eastAsia" w:ascii="微软雅黑" w:hAnsi="微软雅黑" w:eastAsia="微软雅黑"/>
          <w:sz w:val="24"/>
          <w:highlight w:val="none"/>
          <w:u w:val="single"/>
        </w:rPr>
      </w:pPr>
    </w:p>
    <w:p w14:paraId="029A5ABD">
      <w:pPr>
        <w:pStyle w:val="113"/>
        <w:spacing w:line="360" w:lineRule="auto"/>
        <w:ind w:firstLine="420" w:firstLineChars="200"/>
        <w:rPr>
          <w:rFonts w:hint="eastAsia" w:ascii="微软雅黑" w:hAnsi="微软雅黑" w:eastAsia="微软雅黑"/>
          <w:highlight w:val="none"/>
          <w:lang w:eastAsia="zh-Hans"/>
        </w:rPr>
      </w:pP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hint="eastAsia" w:ascii="微软雅黑" w:hAnsi="微软雅黑" w:eastAsia="微软雅黑"/>
          <w:highlight w:val="none"/>
          <w:u w:val="single"/>
        </w:rPr>
        <w:t>公司</w:t>
      </w:r>
      <w:r>
        <w:rPr>
          <w:rFonts w:hint="eastAsia" w:ascii="微软雅黑" w:hAnsi="微软雅黑" w:eastAsia="微软雅黑"/>
          <w:highlight w:val="none"/>
        </w:rPr>
        <w:t>目前操作</w:t>
      </w: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hint="eastAsia" w:ascii="微软雅黑" w:hAnsi="微软雅黑" w:eastAsia="微软雅黑"/>
          <w:highlight w:val="none"/>
        </w:rPr>
        <w:t>项目，存在未结算运费约</w:t>
      </w: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ascii="微软雅黑" w:hAnsi="微软雅黑" w:eastAsia="微软雅黑"/>
          <w:highlight w:val="none"/>
          <w:u w:val="single"/>
          <w:shd w:val="clear" w:color="auto" w:fill="FFFF00"/>
        </w:rPr>
        <w:t xml:space="preserve">   </w:t>
      </w:r>
      <w:r>
        <w:rPr>
          <w:rFonts w:hint="eastAsia" w:ascii="微软雅黑" w:hAnsi="微软雅黑" w:eastAsia="微软雅黑"/>
          <w:highlight w:val="none"/>
        </w:rPr>
        <w:t>万元。</w:t>
      </w:r>
      <w:r>
        <w:rPr>
          <w:rFonts w:hint="eastAsia" w:ascii="微软雅黑" w:hAnsi="微软雅黑" w:eastAsia="微软雅黑"/>
          <w:highlight w:val="none"/>
          <w:lang w:eastAsia="zh-Hans"/>
        </w:rPr>
        <w:t>我司同意将上述未结算运费中的人民币【</w:t>
      </w:r>
      <w:r>
        <w:rPr>
          <w:rFonts w:ascii="微软雅黑" w:hAnsi="微软雅黑" w:eastAsia="微软雅黑"/>
          <w:highlight w:val="none"/>
          <w:lang w:eastAsia="zh-Hans"/>
        </w:rPr>
        <w:t xml:space="preserve">  </w:t>
      </w:r>
      <w:r>
        <w:rPr>
          <w:rFonts w:hint="eastAsia" w:ascii="微软雅黑" w:hAnsi="微软雅黑" w:eastAsia="微软雅黑"/>
          <w:highlight w:val="none"/>
          <w:lang w:eastAsia="zh-Hans"/>
        </w:rPr>
        <w:t>】元作为</w:t>
      </w:r>
      <w:r>
        <w:rPr>
          <w:rFonts w:hint="eastAsia" w:ascii="微软雅黑" w:hAnsi="微软雅黑" w:eastAsia="微软雅黑" w:cs="楷体"/>
          <w:color w:val="000000"/>
          <w:highlight w:val="none"/>
        </w:rPr>
        <w:t>2026年上海数智世界工业科技集团有限公司公路运输服务项目</w:t>
      </w:r>
      <w:r>
        <w:rPr>
          <w:rFonts w:hint="eastAsia" w:ascii="微软雅黑" w:hAnsi="微软雅黑" w:eastAsia="微软雅黑"/>
          <w:highlight w:val="none"/>
          <w:lang w:eastAsia="zh-Hans"/>
        </w:rPr>
        <w:t>的投标履约保证金。</w:t>
      </w:r>
    </w:p>
    <w:p w14:paraId="7697B835">
      <w:pPr>
        <w:spacing w:line="360" w:lineRule="auto"/>
        <w:ind w:firstLine="420" w:firstLineChars="200"/>
        <w:jc w:val="left"/>
        <w:rPr>
          <w:rFonts w:hint="eastAsia" w:ascii="微软雅黑" w:hAnsi="微软雅黑" w:eastAsia="微软雅黑"/>
          <w:szCs w:val="21"/>
          <w:highlight w:val="none"/>
          <w:u w:val="single"/>
        </w:rPr>
      </w:pPr>
      <w:r>
        <w:rPr>
          <w:rFonts w:hint="eastAsia" w:ascii="微软雅黑" w:hAnsi="微软雅黑" w:eastAsia="微软雅黑"/>
          <w:szCs w:val="21"/>
          <w:highlight w:val="none"/>
        </w:rPr>
        <w:t>在招标过程中，如我方存在违规操作，</w:t>
      </w:r>
      <w:r>
        <w:rPr>
          <w:rFonts w:hint="eastAsia" w:ascii="微软雅黑" w:hAnsi="微软雅黑" w:eastAsia="微软雅黑"/>
          <w:szCs w:val="21"/>
          <w:highlight w:val="none"/>
          <w:lang w:eastAsia="zh-Hans"/>
        </w:rPr>
        <w:t>招标人根据招标文件采取没收投标保证金措施的，</w:t>
      </w:r>
      <w:r>
        <w:rPr>
          <w:rFonts w:hint="eastAsia" w:ascii="微软雅黑" w:hAnsi="微软雅黑" w:eastAsia="微软雅黑"/>
          <w:szCs w:val="21"/>
          <w:highlight w:val="none"/>
        </w:rPr>
        <w:t>例如“违反招标规定</w:t>
      </w:r>
      <w:r>
        <w:rPr>
          <w:rFonts w:ascii="微软雅黑" w:hAnsi="微软雅黑" w:eastAsia="微软雅黑"/>
          <w:szCs w:val="21"/>
          <w:highlight w:val="none"/>
        </w:rPr>
        <w:t>”</w:t>
      </w:r>
      <w:r>
        <w:rPr>
          <w:rFonts w:hint="eastAsia" w:ascii="微软雅黑" w:hAnsi="微软雅黑" w:eastAsia="微软雅黑"/>
          <w:szCs w:val="21"/>
          <w:highlight w:val="none"/>
        </w:rPr>
        <w:t>、“通知我方中标，而我方不能签约运作”等情况，则以上项目未结运费</w:t>
      </w:r>
      <w:r>
        <w:rPr>
          <w:rFonts w:hint="eastAsia" w:ascii="微软雅黑" w:hAnsi="微软雅黑" w:eastAsia="微软雅黑"/>
          <w:szCs w:val="21"/>
          <w:highlight w:val="none"/>
          <w:lang w:eastAsia="zh-Hans"/>
        </w:rPr>
        <w:t>中等同于投标保证金的相关金额</w:t>
      </w:r>
      <w:r>
        <w:rPr>
          <w:rFonts w:hint="eastAsia" w:ascii="微软雅黑" w:hAnsi="微软雅黑" w:eastAsia="微软雅黑"/>
          <w:szCs w:val="21"/>
          <w:highlight w:val="none"/>
        </w:rPr>
        <w:t>部分用来抵扣此</w:t>
      </w: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hint="eastAsia" w:ascii="微软雅黑" w:hAnsi="微软雅黑" w:eastAsia="微软雅黑"/>
          <w:szCs w:val="21"/>
          <w:highlight w:val="none"/>
        </w:rPr>
        <w:t>项目的投标保证金</w:t>
      </w: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hint="eastAsia" w:ascii="微软雅黑" w:hAnsi="微软雅黑" w:eastAsia="微软雅黑"/>
          <w:szCs w:val="21"/>
          <w:highlight w:val="none"/>
        </w:rPr>
        <w:t>万元。投标结束后，若中标则该笔保证金仍用于运作，相关项目运作终止前该笔运作保证金不能退还，直至项目结束；若未中标，则该笔保证金正常</w:t>
      </w:r>
      <w:r>
        <w:rPr>
          <w:rFonts w:hint="eastAsia" w:ascii="微软雅黑" w:hAnsi="微软雅黑" w:eastAsia="微软雅黑"/>
          <w:szCs w:val="21"/>
          <w:highlight w:val="none"/>
          <w:lang w:eastAsia="zh-Hans"/>
        </w:rPr>
        <w:t>按原有未结算运费进行处理</w:t>
      </w:r>
      <w:r>
        <w:rPr>
          <w:rFonts w:hint="eastAsia" w:ascii="微软雅黑" w:hAnsi="微软雅黑" w:eastAsia="微软雅黑"/>
          <w:szCs w:val="21"/>
          <w:highlight w:val="none"/>
        </w:rPr>
        <w:t>。</w:t>
      </w:r>
    </w:p>
    <w:p w14:paraId="3582C843">
      <w:pPr>
        <w:pStyle w:val="113"/>
        <w:spacing w:line="360" w:lineRule="auto"/>
        <w:rPr>
          <w:rFonts w:hint="eastAsia" w:ascii="微软雅黑" w:hAnsi="微软雅黑" w:eastAsia="微软雅黑"/>
          <w:highlight w:val="none"/>
        </w:rPr>
      </w:pPr>
    </w:p>
    <w:p w14:paraId="7549783F">
      <w:pPr>
        <w:pStyle w:val="113"/>
        <w:spacing w:line="360" w:lineRule="auto"/>
        <w:rPr>
          <w:rFonts w:hint="eastAsia" w:ascii="微软雅黑" w:hAnsi="微软雅黑" w:eastAsia="微软雅黑"/>
          <w:highlight w:val="none"/>
        </w:rPr>
      </w:pPr>
    </w:p>
    <w:p w14:paraId="1E96F4C9">
      <w:pPr>
        <w:spacing w:line="360" w:lineRule="auto"/>
        <w:jc w:val="left"/>
        <w:rPr>
          <w:rFonts w:hint="eastAsia" w:ascii="微软雅黑" w:hAnsi="微软雅黑" w:eastAsia="微软雅黑"/>
          <w:szCs w:val="21"/>
          <w:highlight w:val="none"/>
        </w:rPr>
      </w:pPr>
    </w:p>
    <w:p w14:paraId="20398C14">
      <w:pPr>
        <w:spacing w:line="360" w:lineRule="auto"/>
        <w:ind w:firstLine="4515" w:firstLineChars="2150"/>
        <w:jc w:val="left"/>
        <w:rPr>
          <w:rFonts w:hint="eastAsia" w:ascii="微软雅黑" w:hAnsi="微软雅黑" w:eastAsia="微软雅黑"/>
          <w:szCs w:val="21"/>
          <w:highlight w:val="none"/>
        </w:rPr>
      </w:pPr>
      <w:r>
        <w:rPr>
          <w:rFonts w:hint="eastAsia" w:ascii="微软雅黑" w:hAnsi="微软雅黑" w:eastAsia="微软雅黑"/>
          <w:szCs w:val="21"/>
          <w:highlight w:val="none"/>
        </w:rPr>
        <w:t>公司名称：</w:t>
      </w:r>
    </w:p>
    <w:p w14:paraId="5ABF9290">
      <w:pPr>
        <w:spacing w:line="360" w:lineRule="auto"/>
        <w:ind w:firstLine="4515" w:firstLineChars="2150"/>
        <w:jc w:val="left"/>
        <w:rPr>
          <w:rFonts w:hint="eastAsia" w:ascii="微软雅黑" w:hAnsi="微软雅黑" w:eastAsia="微软雅黑"/>
          <w:szCs w:val="21"/>
          <w:highlight w:val="none"/>
        </w:rPr>
      </w:pPr>
    </w:p>
    <w:p w14:paraId="02667A1B">
      <w:pPr>
        <w:spacing w:line="360" w:lineRule="auto"/>
        <w:ind w:firstLine="4515" w:firstLineChars="2150"/>
        <w:jc w:val="left"/>
        <w:rPr>
          <w:rFonts w:hint="eastAsia" w:ascii="微软雅黑" w:hAnsi="微软雅黑" w:eastAsia="微软雅黑"/>
          <w:szCs w:val="21"/>
          <w:highlight w:val="none"/>
        </w:rPr>
      </w:pPr>
      <w:r>
        <w:rPr>
          <w:rFonts w:hint="eastAsia" w:ascii="微软雅黑" w:hAnsi="微软雅黑" w:eastAsia="微软雅黑"/>
          <w:szCs w:val="21"/>
          <w:highlight w:val="none"/>
        </w:rPr>
        <w:t>日期：</w:t>
      </w:r>
    </w:p>
    <w:p w14:paraId="3066FE7B">
      <w:pPr>
        <w:spacing w:line="360" w:lineRule="auto"/>
        <w:ind w:firstLine="4515" w:firstLineChars="2150"/>
        <w:jc w:val="left"/>
        <w:rPr>
          <w:rFonts w:hint="eastAsia" w:ascii="微软雅黑" w:hAnsi="微软雅黑" w:eastAsia="微软雅黑"/>
          <w:szCs w:val="21"/>
          <w:highlight w:val="none"/>
        </w:rPr>
      </w:pPr>
    </w:p>
    <w:p w14:paraId="7A3D6FA7">
      <w:pPr>
        <w:spacing w:line="360" w:lineRule="auto"/>
        <w:ind w:firstLine="4515" w:firstLineChars="2150"/>
        <w:jc w:val="left"/>
        <w:rPr>
          <w:rFonts w:hint="eastAsia" w:ascii="微软雅黑" w:hAnsi="微软雅黑" w:eastAsia="微软雅黑"/>
          <w:szCs w:val="21"/>
          <w:highlight w:val="none"/>
        </w:rPr>
      </w:pPr>
      <w:r>
        <w:rPr>
          <w:rFonts w:hint="eastAsia" w:ascii="微软雅黑" w:hAnsi="微软雅黑" w:eastAsia="微软雅黑"/>
          <w:szCs w:val="21"/>
          <w:highlight w:val="none"/>
        </w:rPr>
        <w:t>盖章：</w:t>
      </w:r>
    </w:p>
    <w:p w14:paraId="21F148A4">
      <w:pPr>
        <w:spacing w:line="360" w:lineRule="auto"/>
        <w:rPr>
          <w:rFonts w:hint="eastAsia" w:ascii="楷体" w:hAnsi="楷体" w:eastAsia="楷体"/>
          <w:sz w:val="36"/>
          <w:szCs w:val="32"/>
          <w:highlight w:val="none"/>
        </w:rPr>
      </w:pPr>
    </w:p>
    <w:p w14:paraId="407C6F81">
      <w:pPr>
        <w:rPr>
          <w:rFonts w:hint="eastAsia" w:ascii="楷体" w:hAnsi="楷体" w:eastAsia="楷体"/>
          <w:sz w:val="36"/>
          <w:szCs w:val="32"/>
          <w:highlight w:val="none"/>
        </w:rPr>
      </w:pPr>
    </w:p>
    <w:p w14:paraId="00CE7CFC">
      <w:pPr>
        <w:pStyle w:val="2"/>
        <w:spacing w:before="156" w:line="360" w:lineRule="auto"/>
        <w:rPr>
          <w:rFonts w:hint="eastAsia" w:ascii="楷体" w:hAnsi="楷体" w:eastAsia="楷体"/>
          <w:sz w:val="40"/>
          <w:highlight w:val="none"/>
        </w:rPr>
      </w:pPr>
      <w:bookmarkStart w:id="116" w:name="_Toc22577"/>
      <w:bookmarkStart w:id="117" w:name="_Toc27296"/>
      <w:bookmarkStart w:id="118" w:name="_Toc7957"/>
      <w:bookmarkStart w:id="119" w:name="_Toc1196967042"/>
      <w:bookmarkStart w:id="120" w:name="_Toc2265"/>
      <w:bookmarkStart w:id="121" w:name="_Toc29662"/>
      <w:r>
        <w:rPr>
          <w:rFonts w:hint="eastAsia" w:ascii="楷体" w:hAnsi="楷体" w:eastAsia="楷体"/>
          <w:sz w:val="40"/>
          <w:highlight w:val="none"/>
        </w:rPr>
        <w:t>第五章 响应文件模板</w:t>
      </w:r>
      <w:bookmarkEnd w:id="116"/>
      <w:bookmarkEnd w:id="117"/>
      <w:bookmarkEnd w:id="118"/>
      <w:bookmarkEnd w:id="119"/>
      <w:bookmarkEnd w:id="120"/>
      <w:bookmarkEnd w:id="121"/>
    </w:p>
    <w:p w14:paraId="0C9D9037">
      <w:pPr>
        <w:rPr>
          <w:rFonts w:hint="eastAsia" w:ascii="宋体" w:hAnsi="宋体" w:cs="宋体"/>
          <w:szCs w:val="21"/>
          <w:highlight w:val="none"/>
        </w:rPr>
      </w:pPr>
    </w:p>
    <w:p w14:paraId="13B23818">
      <w:pPr>
        <w:jc w:val="center"/>
        <w:rPr>
          <w:rFonts w:hint="eastAsia" w:ascii="宋体" w:hAnsi="宋体" w:cs="宋体"/>
          <w:highlight w:val="none"/>
        </w:rPr>
      </w:pPr>
      <w:r>
        <w:rPr>
          <w:rFonts w:hint="eastAsia" w:ascii="宋体" w:hAnsi="宋体" w:cs="宋体"/>
          <w:b/>
          <w:bCs/>
          <w:sz w:val="28"/>
          <w:szCs w:val="28"/>
          <w:highlight w:val="none"/>
        </w:rPr>
        <w:t>目录</w:t>
      </w:r>
    </w:p>
    <w:p w14:paraId="371EB2D8">
      <w:pPr>
        <w:pStyle w:val="32"/>
        <w:tabs>
          <w:tab w:val="right" w:leader="dot" w:pos="8306"/>
        </w:tabs>
        <w:rPr>
          <w:bCs/>
          <w:highlight w:val="none"/>
          <w:lang w:val="zh-CN"/>
        </w:rPr>
      </w:pPr>
    </w:p>
    <w:p w14:paraId="2FBFDA8E">
      <w:pPr>
        <w:pStyle w:val="32"/>
        <w:numPr>
          <w:ilvl w:val="0"/>
          <w:numId w:val="9"/>
        </w:numPr>
        <w:tabs>
          <w:tab w:val="right" w:leader="dot" w:pos="8306"/>
        </w:tabs>
        <w:rPr>
          <w:highlight w:val="none"/>
        </w:rPr>
      </w:pPr>
      <w:r>
        <w:rPr>
          <w:rFonts w:hint="eastAsia"/>
          <w:bCs/>
          <w:highlight w:val="none"/>
        </w:rPr>
        <w:t>投标承诺函</w:t>
      </w:r>
    </w:p>
    <w:p w14:paraId="6E303FB7">
      <w:pPr>
        <w:pStyle w:val="32"/>
        <w:tabs>
          <w:tab w:val="right" w:leader="dot" w:pos="8306"/>
        </w:tabs>
        <w:rPr>
          <w:bCs/>
          <w:highlight w:val="none"/>
        </w:rPr>
      </w:pPr>
      <w:r>
        <w:rPr>
          <w:rFonts w:hint="eastAsia"/>
          <w:bCs/>
          <w:highlight w:val="none"/>
        </w:rPr>
        <w:t>二、</w:t>
      </w:r>
      <w:r>
        <w:rPr>
          <w:rFonts w:hint="eastAsia"/>
          <w:bCs/>
          <w:highlight w:val="none"/>
          <w:lang w:val="zh-CN"/>
        </w:rPr>
        <w:t>营业执照</w:t>
      </w:r>
    </w:p>
    <w:p w14:paraId="4C095048">
      <w:pPr>
        <w:pStyle w:val="32"/>
        <w:tabs>
          <w:tab w:val="right" w:leader="dot" w:pos="8306"/>
        </w:tabs>
        <w:rPr>
          <w:bCs/>
          <w:highlight w:val="none"/>
        </w:rPr>
      </w:pPr>
      <w:r>
        <w:rPr>
          <w:rFonts w:hint="eastAsia"/>
          <w:bCs/>
          <w:highlight w:val="none"/>
        </w:rPr>
        <w:t>三、道路运输许可证</w:t>
      </w:r>
    </w:p>
    <w:p w14:paraId="1C59BD4A">
      <w:pPr>
        <w:pStyle w:val="32"/>
        <w:tabs>
          <w:tab w:val="right" w:leader="dot" w:pos="8306"/>
        </w:tabs>
        <w:rPr>
          <w:bCs/>
          <w:highlight w:val="none"/>
          <w:lang w:val="zh-CN"/>
        </w:rPr>
      </w:pPr>
      <w:r>
        <w:rPr>
          <w:rFonts w:hint="eastAsia"/>
          <w:bCs/>
          <w:highlight w:val="none"/>
        </w:rPr>
        <w:t>四、</w:t>
      </w:r>
      <w:r>
        <w:rPr>
          <w:rFonts w:hint="eastAsia"/>
          <w:bCs/>
          <w:highlight w:val="none"/>
          <w:lang w:val="zh-CN"/>
        </w:rPr>
        <w:t>投标人关联关系及围标串标认定处罚知情书</w:t>
      </w:r>
    </w:p>
    <w:p w14:paraId="39BF7F46">
      <w:pPr>
        <w:pStyle w:val="32"/>
        <w:tabs>
          <w:tab w:val="right" w:leader="dot" w:pos="8306"/>
        </w:tabs>
        <w:rPr>
          <w:bCs/>
          <w:highlight w:val="none"/>
          <w:lang w:val="zh-CN"/>
        </w:rPr>
      </w:pPr>
      <w:r>
        <w:rPr>
          <w:rFonts w:hint="eastAsia"/>
          <w:bCs/>
          <w:highlight w:val="none"/>
        </w:rPr>
        <w:t>五、</w:t>
      </w:r>
      <w:r>
        <w:rPr>
          <w:rFonts w:hint="eastAsia"/>
          <w:bCs/>
          <w:highlight w:val="none"/>
          <w:lang w:val="zh-CN"/>
        </w:rPr>
        <w:t>法定代表人证明或授权委托书</w:t>
      </w:r>
    </w:p>
    <w:p w14:paraId="02826D89">
      <w:pPr>
        <w:pStyle w:val="32"/>
        <w:tabs>
          <w:tab w:val="right" w:leader="dot" w:pos="8306"/>
        </w:tabs>
        <w:rPr>
          <w:bCs/>
          <w:highlight w:val="none"/>
          <w:lang w:val="zh-CN"/>
        </w:rPr>
      </w:pPr>
      <w:r>
        <w:rPr>
          <w:rFonts w:hint="eastAsia"/>
          <w:bCs/>
          <w:highlight w:val="none"/>
        </w:rPr>
        <w:t>六、</w:t>
      </w:r>
      <w:r>
        <w:rPr>
          <w:rFonts w:hint="eastAsia"/>
          <w:bCs/>
          <w:highlight w:val="none"/>
          <w:lang w:val="zh-CN"/>
        </w:rPr>
        <w:t>公司基本情况</w:t>
      </w:r>
    </w:p>
    <w:p w14:paraId="60B0D0B9">
      <w:pPr>
        <w:pStyle w:val="32"/>
        <w:tabs>
          <w:tab w:val="right" w:leader="dot" w:pos="8306"/>
        </w:tabs>
        <w:rPr>
          <w:bCs/>
          <w:highlight w:val="none"/>
        </w:rPr>
      </w:pPr>
      <w:r>
        <w:rPr>
          <w:rFonts w:hint="eastAsia"/>
          <w:bCs/>
          <w:highlight w:val="none"/>
        </w:rPr>
        <w:t>七、财务状况证明</w:t>
      </w:r>
    </w:p>
    <w:p w14:paraId="7A442CA3">
      <w:pPr>
        <w:pStyle w:val="32"/>
        <w:tabs>
          <w:tab w:val="right" w:leader="dot" w:pos="8306"/>
        </w:tabs>
        <w:rPr>
          <w:bCs/>
          <w:highlight w:val="none"/>
        </w:rPr>
      </w:pPr>
      <w:r>
        <w:rPr>
          <w:rFonts w:hint="eastAsia"/>
          <w:bCs/>
          <w:highlight w:val="none"/>
        </w:rPr>
        <w:t>八、</w:t>
      </w:r>
      <w:r>
        <w:rPr>
          <w:bCs/>
          <w:highlight w:val="none"/>
        </w:rPr>
        <w:t>同类业务证明</w:t>
      </w:r>
    </w:p>
    <w:p w14:paraId="24715B7C">
      <w:pPr>
        <w:pStyle w:val="32"/>
        <w:tabs>
          <w:tab w:val="right" w:leader="dot" w:pos="8306"/>
        </w:tabs>
        <w:rPr>
          <w:bCs/>
          <w:highlight w:val="none"/>
        </w:rPr>
      </w:pPr>
      <w:r>
        <w:rPr>
          <w:rFonts w:hint="eastAsia"/>
          <w:bCs/>
          <w:highlight w:val="none"/>
        </w:rPr>
        <w:t>九、运作方案</w:t>
      </w:r>
    </w:p>
    <w:p w14:paraId="2BCF57AD">
      <w:pPr>
        <w:pStyle w:val="32"/>
        <w:tabs>
          <w:tab w:val="right" w:leader="dot" w:pos="8306"/>
        </w:tabs>
        <w:rPr>
          <w:bCs/>
          <w:highlight w:val="none"/>
        </w:rPr>
      </w:pPr>
      <w:r>
        <w:rPr>
          <w:rFonts w:hint="eastAsia"/>
          <w:bCs/>
          <w:highlight w:val="none"/>
        </w:rPr>
        <w:t>十、保险证明材料或保险购买承诺</w:t>
      </w:r>
    </w:p>
    <w:p w14:paraId="4C634118">
      <w:pPr>
        <w:pStyle w:val="32"/>
        <w:tabs>
          <w:tab w:val="right" w:leader="dot" w:pos="8306"/>
        </w:tabs>
        <w:rPr>
          <w:bCs/>
          <w:highlight w:val="none"/>
          <w:lang w:val="zh-CN"/>
        </w:rPr>
      </w:pPr>
      <w:r>
        <w:rPr>
          <w:rFonts w:hint="eastAsia"/>
          <w:bCs/>
          <w:highlight w:val="none"/>
        </w:rPr>
        <w:t>十一、</w:t>
      </w:r>
      <w:r>
        <w:rPr>
          <w:rFonts w:hint="eastAsia"/>
          <w:bCs/>
          <w:highlight w:val="none"/>
          <w:lang w:val="zh-CN"/>
        </w:rPr>
        <w:t>报价表</w:t>
      </w:r>
    </w:p>
    <w:p w14:paraId="16C506DE">
      <w:pPr>
        <w:pStyle w:val="32"/>
        <w:tabs>
          <w:tab w:val="right" w:leader="dot" w:pos="8306"/>
        </w:tabs>
        <w:rPr>
          <w:bCs/>
          <w:highlight w:val="none"/>
        </w:rPr>
      </w:pPr>
      <w:r>
        <w:rPr>
          <w:rFonts w:hint="eastAsia"/>
          <w:bCs/>
          <w:highlight w:val="none"/>
        </w:rPr>
        <w:t>十二、保密及不批露协议</w:t>
      </w:r>
    </w:p>
    <w:p w14:paraId="1FA541A0">
      <w:pPr>
        <w:pStyle w:val="32"/>
        <w:tabs>
          <w:tab w:val="right" w:leader="dot" w:pos="8306"/>
        </w:tabs>
        <w:rPr>
          <w:bCs/>
          <w:highlight w:val="none"/>
          <w:lang w:val="zh-CN"/>
        </w:rPr>
      </w:pPr>
      <w:r>
        <w:rPr>
          <w:rFonts w:hint="eastAsia"/>
          <w:bCs/>
          <w:highlight w:val="none"/>
          <w:lang w:val="zh-CN"/>
        </w:rPr>
        <w:object>
          <v:shape id="_x0000_i1025" o:spt="75" type="#_x0000_t75" style="height:65.65pt;width:72.65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Icon" ObjectID="_1468075725" r:id="rId6">
            <o:LockedField>false</o:LockedField>
          </o:OLEObject>
        </w:object>
      </w:r>
      <w:r>
        <w:rPr>
          <w:rFonts w:hint="eastAsia"/>
          <w:bCs/>
          <w:highlight w:val="none"/>
          <w:lang w:val="zh-CN"/>
        </w:rPr>
        <w:object>
          <v:shape id="_x0000_i1026" o:spt="75" type="#_x0000_t75" style="height:65.65pt;width:72.65pt;" o:ole="t" filled="f" o:preferrelative="t" stroked="f" coordsize="21600,21600">
            <v:path/>
            <v:fill on="f" focussize="0,0"/>
            <v:stroke on="f" joinstyle="miter"/>
            <v:imagedata r:id="rId9" o:title=""/>
            <o:lock v:ext="edit" aspectratio="t"/>
            <w10:wrap type="none"/>
            <w10:anchorlock/>
          </v:shape>
          <o:OLEObject Type="Embed" ProgID="Word.Document.12" ShapeID="_x0000_i1026" DrawAspect="Icon" ObjectID="_1468075726" r:id="rId8">
            <o:LockedField>false</o:LockedField>
          </o:OLEObject>
        </w:object>
      </w:r>
      <w:r>
        <w:rPr>
          <w:rFonts w:hint="eastAsia"/>
          <w:bCs/>
          <w:highlight w:val="none"/>
          <w:lang w:val="zh-CN"/>
        </w:rPr>
        <w:object>
          <v:shape id="_x0000_i1027" o:spt="75" type="#_x0000_t75" style="height:65.65pt;width:72.65pt;" o:ole="t" filled="f" o:preferrelative="t" stroked="f" coordsize="21600,21600">
            <v:path/>
            <v:fill on="f" focussize="0,0"/>
            <v:stroke on="f" joinstyle="miter"/>
            <v:imagedata r:id="rId11" o:title=""/>
            <o:lock v:ext="edit" aspectratio="t"/>
            <w10:wrap type="none"/>
            <w10:anchorlock/>
          </v:shape>
          <o:OLEObject Type="Embed" ProgID="Word.Document.12" ShapeID="_x0000_i1027" DrawAspect="Icon" ObjectID="_1468075727" r:id="rId10">
            <o:LockedField>false</o:LockedField>
          </o:OLEObject>
        </w:object>
      </w:r>
      <w:r>
        <w:rPr>
          <w:rFonts w:hint="eastAsia"/>
          <w:bCs/>
          <w:highlight w:val="none"/>
          <w:lang w:val="zh-CN"/>
        </w:rPr>
        <w:object>
          <v:shape id="_x0000_i1028" o:spt="75" type="#_x0000_t75" style="height:65.65pt;width:72.65pt;" o:ole="t" filled="f" o:preferrelative="t" stroked="f" coordsize="21600,21600">
            <v:path/>
            <v:fill on="f" focussize="0,0"/>
            <v:stroke on="f" joinstyle="miter"/>
            <v:imagedata r:id="rId13" o:title=""/>
            <o:lock v:ext="edit" aspectratio="t"/>
            <w10:wrap type="none"/>
            <w10:anchorlock/>
          </v:shape>
          <o:OLEObject Type="Embed" ProgID="Word.Document.12" ShapeID="_x0000_i1028" DrawAspect="Icon" ObjectID="_1468075728" r:id="rId12">
            <o:LockedField>false</o:LockedField>
          </o:OLEObject>
        </w:object>
      </w:r>
      <w:r>
        <w:rPr>
          <w:rFonts w:hint="eastAsia"/>
          <w:bCs/>
          <w:highlight w:val="none"/>
          <w:lang w:val="zh-CN"/>
        </w:rPr>
        <w:object>
          <v:shape id="_x0000_i1029" o:spt="75" type="#_x0000_t75" style="height:65.65pt;width:72.65pt;" o:ole="t" filled="f" o:preferrelative="t" stroked="f" coordsize="21600,21600">
            <v:path/>
            <v:fill on="f" focussize="0,0"/>
            <v:stroke on="f" joinstyle="miter"/>
            <v:imagedata r:id="rId15" o:title=""/>
            <o:lock v:ext="edit" aspectratio="t"/>
            <w10:wrap type="none"/>
            <w10:anchorlock/>
          </v:shape>
          <o:OLEObject Type="Embed" ProgID="Word.Document.12" ShapeID="_x0000_i1029" DrawAspect="Icon" ObjectID="_1468075729" r:id="rId14">
            <o:LockedField>false</o:LockedField>
          </o:OLEObject>
        </w:object>
      </w:r>
      <w:r>
        <w:rPr>
          <w:rFonts w:hint="eastAsia"/>
          <w:bCs/>
          <w:highlight w:val="none"/>
          <w:lang w:val="zh-CN"/>
        </w:rPr>
        <w:object>
          <v:shape id="_x0000_i1030" o:spt="75" type="#_x0000_t75" style="height:65.65pt;width:72.65pt;" o:ole="t" filled="f" o:preferrelative="t" stroked="f" coordsize="21600,21600">
            <v:path/>
            <v:fill on="f" focussize="0,0"/>
            <v:stroke on="f" joinstyle="miter"/>
            <v:imagedata r:id="rId17" o:title=""/>
            <o:lock v:ext="edit" aspectratio="t"/>
            <w10:wrap type="none"/>
            <w10:anchorlock/>
          </v:shape>
          <o:OLEObject Type="Embed" ProgID="Word.Document.12" ShapeID="_x0000_i1030" DrawAspect="Icon" ObjectID="_1468075730" r:id="rId16">
            <o:LockedField>false</o:LockedField>
          </o:OLEObject>
        </w:object>
      </w:r>
      <w:r>
        <w:rPr>
          <w:rFonts w:hint="eastAsia"/>
          <w:bCs/>
          <w:highlight w:val="none"/>
          <w:lang w:val="zh-CN"/>
        </w:rPr>
        <w:object>
          <v:shape id="_x0000_i1031" o:spt="75" type="#_x0000_t75" style="height:65.65pt;width:72.65pt;" o:ole="t" filled="f" o:preferrelative="t" stroked="f" coordsize="21600,21600">
            <v:path/>
            <v:fill on="f" focussize="0,0"/>
            <v:stroke on="f" joinstyle="miter"/>
            <v:imagedata r:id="rId19" o:title=""/>
            <o:lock v:ext="edit" aspectratio="t"/>
            <w10:wrap type="none"/>
            <w10:anchorlock/>
          </v:shape>
          <o:OLEObject Type="Embed" ProgID="Word.Document.12" ShapeID="_x0000_i1031" DrawAspect="Icon" ObjectID="_1468075731" r:id="rId18">
            <o:LockedField>false</o:LockedField>
          </o:OLEObject>
        </w:object>
      </w:r>
      <w:r>
        <w:rPr>
          <w:rFonts w:hint="eastAsia"/>
          <w:bCs/>
          <w:highlight w:val="none"/>
          <w:lang w:val="zh-CN"/>
        </w:rPr>
        <w:object>
          <v:shape id="_x0000_i1032" o:spt="75" type="#_x0000_t75" style="height:65.65pt;width:72.65pt;" o:ole="t" filled="f" o:preferrelative="t" stroked="f" coordsize="21600,21600">
            <v:path/>
            <v:fill on="f" focussize="0,0"/>
            <v:stroke on="f" joinstyle="miter"/>
            <v:imagedata r:id="rId21" o:title=""/>
            <o:lock v:ext="edit" aspectratio="t"/>
            <w10:wrap type="none"/>
            <w10:anchorlock/>
          </v:shape>
          <o:OLEObject Type="Embed" ProgID="Word.Document.12" ShapeID="_x0000_i1032" DrawAspect="Icon" ObjectID="_1468075732" r:id="rId20">
            <o:LockedField>false</o:LockedField>
          </o:OLEObject>
        </w:object>
      </w:r>
      <w:r>
        <w:rPr>
          <w:rFonts w:hint="eastAsia"/>
          <w:bCs/>
          <w:highlight w:val="none"/>
          <w:lang w:val="zh-CN"/>
        </w:rPr>
        <w:object>
          <v:shape id="_x0000_i1033" o:spt="75" type="#_x0000_t75" style="height:65.65pt;width:72.65pt;" o:ole="t" filled="f" o:preferrelative="t" stroked="f" coordsize="21600,21600">
            <v:path/>
            <v:fill on="f" focussize="0,0"/>
            <v:stroke on="f" joinstyle="miter"/>
            <v:imagedata r:id="rId23" o:title=""/>
            <o:lock v:ext="edit" aspectratio="t"/>
            <w10:wrap type="none"/>
            <w10:anchorlock/>
          </v:shape>
          <o:OLEObject Type="Embed" ProgID="Word.Document.12" ShapeID="_x0000_i1033" DrawAspect="Icon" ObjectID="_1468075733" r:id="rId22">
            <o:LockedField>false</o:LockedField>
          </o:OLEObject>
        </w:object>
      </w:r>
      <w:r>
        <w:rPr>
          <w:rFonts w:hint="eastAsia"/>
          <w:bCs/>
          <w:highlight w:val="none"/>
          <w:lang w:val="zh-CN"/>
        </w:rPr>
        <w:object>
          <v:shape id="_x0000_i1034" o:spt="75" type="#_x0000_t75" style="height:65.65pt;width:72.65pt;" o:ole="t" filled="f" o:preferrelative="t" stroked="f" coordsize="21600,21600">
            <v:path/>
            <v:fill on="f" focussize="0,0"/>
            <v:stroke on="f" joinstyle="miter"/>
            <v:imagedata r:id="rId25" o:title=""/>
            <o:lock v:ext="edit" aspectratio="t"/>
            <w10:wrap type="none"/>
            <w10:anchorlock/>
          </v:shape>
          <o:OLEObject Type="Embed" ProgID="Word.Document.12" ShapeID="_x0000_i1034" DrawAspect="Icon" ObjectID="_1468075734" r:id="rId24">
            <o:LockedField>false</o:LockedField>
          </o:OLEObject>
        </w:object>
      </w:r>
      <w:r>
        <w:rPr>
          <w:rFonts w:hint="eastAsia"/>
          <w:bCs/>
          <w:highlight w:val="none"/>
          <w:lang w:val="zh-CN"/>
        </w:rPr>
        <w:object>
          <v:shape id="_x0000_i1035" o:spt="75" type="#_x0000_t75" style="height:65.65pt;width:72.65pt;" o:ole="t" filled="f" o:preferrelative="t" stroked="f" coordsize="21600,21600">
            <v:path/>
            <v:fill on="f" focussize="0,0"/>
            <v:stroke on="f" joinstyle="miter"/>
            <v:imagedata r:id="rId27" o:title=""/>
            <o:lock v:ext="edit" aspectratio="t"/>
            <w10:wrap type="none"/>
            <w10:anchorlock/>
          </v:shape>
          <o:OLEObject Type="Embed" ProgID="Word.Document.12" ShapeID="_x0000_i1035" DrawAspect="Icon" ObjectID="_1468075735" r:id="rId26">
            <o:LockedField>false</o:LockedField>
          </o:OLEObject>
        </w:object>
      </w:r>
      <w:r>
        <w:rPr>
          <w:rFonts w:hint="eastAsia"/>
          <w:bCs/>
          <w:highlight w:val="none"/>
          <w:lang w:val="zh-CN"/>
        </w:rPr>
        <w:object>
          <v:shape id="_x0000_i1036" o:spt="75" type="#_x0000_t75" style="height:65.65pt;width:72.65pt;" o:ole="t" filled="f" o:preferrelative="t" stroked="f" coordsize="21600,21600">
            <v:path/>
            <v:fill on="f" focussize="0,0"/>
            <v:stroke on="f" joinstyle="miter"/>
            <v:imagedata r:id="rId29" o:title=""/>
            <o:lock v:ext="edit" aspectratio="t"/>
            <w10:wrap type="none"/>
            <w10:anchorlock/>
          </v:shape>
          <o:OLEObject Type="Embed" ProgID="Word.Document.12" ShapeID="_x0000_i1036" DrawAspect="Icon" ObjectID="_1468075736" r:id="rId28">
            <o:LockedField>false</o:LockedField>
          </o:OLEObject>
        </w:object>
      </w:r>
    </w:p>
    <w:p w14:paraId="21D35BD6">
      <w:pPr>
        <w:spacing w:line="360" w:lineRule="auto"/>
        <w:rPr>
          <w:rFonts w:hint="eastAsia" w:ascii="宋体" w:hAnsi="宋体" w:cs="宋体"/>
          <w:highlight w:val="none"/>
        </w:rPr>
      </w:pPr>
    </w:p>
    <w:p w14:paraId="4476E9DF">
      <w:pPr>
        <w:pStyle w:val="2"/>
        <w:spacing w:before="156"/>
        <w:jc w:val="both"/>
        <w:rPr>
          <w:rFonts w:hint="eastAsia" w:ascii="宋体" w:hAnsi="宋体" w:eastAsia="宋体" w:cs="宋体"/>
          <w:highlight w:val="none"/>
        </w:rPr>
      </w:pPr>
    </w:p>
    <w:p w14:paraId="20F6F4A5">
      <w:pPr>
        <w:pStyle w:val="20"/>
        <w:rPr>
          <w:highlight w:val="none"/>
        </w:rPr>
      </w:pPr>
    </w:p>
    <w:sectPr>
      <w:footerReference r:id="rId3" w:type="default"/>
      <w:pgSz w:w="11906" w:h="16838"/>
      <w:pgMar w:top="1440" w:right="1800" w:bottom="1440" w:left="1800" w:header="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Britannic Bold">
    <w:panose1 w:val="020B0903060703020204"/>
    <w:charset w:val="00"/>
    <w:family w:val="swiss"/>
    <w:pitch w:val="default"/>
    <w:sig w:usb0="00000003" w:usb1="00000000" w:usb2="00000000" w:usb3="00000000" w:csb0="2000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414F3">
    <w:pPr>
      <w:pStyle w:val="25"/>
      <w:jc w:val="center"/>
    </w:pPr>
    <w:r>
      <w:fldChar w:fldCharType="begin"/>
    </w:r>
    <w:r>
      <w:instrText xml:space="preserve">PAGE   \* MERGEFORMAT</w:instrText>
    </w:r>
    <w:r>
      <w:fldChar w:fldCharType="separate"/>
    </w:r>
    <w:r>
      <w:rPr>
        <w:lang w:val="zh-CN"/>
      </w:rPr>
      <w:t>2</w:t>
    </w:r>
    <w:r>
      <w:fldChar w:fldCharType="end"/>
    </w:r>
  </w:p>
  <w:p w14:paraId="15C48EDD">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45742"/>
    <w:multiLevelType w:val="singleLevel"/>
    <w:tmpl w:val="A9745742"/>
    <w:lvl w:ilvl="0" w:tentative="0">
      <w:start w:val="1"/>
      <w:numFmt w:val="bullet"/>
      <w:lvlText w:val=""/>
      <w:lvlJc w:val="left"/>
      <w:pPr>
        <w:ind w:left="420" w:hanging="420"/>
      </w:pPr>
      <w:rPr>
        <w:rFonts w:hint="default" w:ascii="Wingdings" w:hAnsi="Wingdings"/>
      </w:rPr>
    </w:lvl>
  </w:abstractNum>
  <w:abstractNum w:abstractNumId="1">
    <w:nsid w:val="B42E7198"/>
    <w:multiLevelType w:val="singleLevel"/>
    <w:tmpl w:val="B42E7198"/>
    <w:lvl w:ilvl="0" w:tentative="0">
      <w:start w:val="1"/>
      <w:numFmt w:val="chineseCounting"/>
      <w:suff w:val="nothing"/>
      <w:lvlText w:val="%1、"/>
      <w:lvlJc w:val="left"/>
      <w:rPr>
        <w:rFonts w:hint="eastAsia"/>
      </w:rPr>
    </w:lvl>
  </w:abstractNum>
  <w:abstractNum w:abstractNumId="2">
    <w:nsid w:val="402A4E62"/>
    <w:multiLevelType w:val="multilevel"/>
    <w:tmpl w:val="402A4E6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A991425"/>
    <w:multiLevelType w:val="multilevel"/>
    <w:tmpl w:val="4A991425"/>
    <w:lvl w:ilvl="0" w:tentative="0">
      <w:start w:val="2"/>
      <w:numFmt w:val="decimal"/>
      <w:lvlText w:val="%1、"/>
      <w:lvlJc w:val="left"/>
      <w:pPr>
        <w:ind w:left="380" w:hanging="3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F71909"/>
    <w:multiLevelType w:val="multilevel"/>
    <w:tmpl w:val="4AF71909"/>
    <w:lvl w:ilvl="0" w:tentative="0">
      <w:start w:val="1"/>
      <w:numFmt w:val="decimal"/>
      <w:lvlText w:val="%1．"/>
      <w:lvlJc w:val="left"/>
      <w:pPr>
        <w:ind w:left="380" w:hanging="3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BE6EBA"/>
    <w:multiLevelType w:val="multilevel"/>
    <w:tmpl w:val="5ABE6EBA"/>
    <w:lvl w:ilvl="0" w:tentative="0">
      <w:start w:val="1"/>
      <w:numFmt w:val="decimal"/>
      <w:lvlText w:val="%1）"/>
      <w:lvlJc w:val="left"/>
      <w:pPr>
        <w:ind w:left="360" w:hanging="360"/>
      </w:pPr>
      <w:rPr>
        <w:rFonts w:hint="default"/>
      </w:rPr>
    </w:lvl>
    <w:lvl w:ilvl="1" w:tentative="0">
      <w:start w:val="1"/>
      <w:numFmt w:val="decimalEnclosedCircle"/>
      <w:lvlText w:val="%2"/>
      <w:lvlJc w:val="left"/>
      <w:pPr>
        <w:ind w:left="780" w:hanging="360"/>
      </w:pPr>
      <w:rPr>
        <w:rFonts w:hint="default"/>
      </w:rPr>
    </w:lvl>
    <w:lvl w:ilvl="2" w:tentative="0">
      <w:start w:val="4"/>
      <w:numFmt w:val="japaneseCounting"/>
      <w:lvlText w:val="%3、"/>
      <w:lvlJc w:val="left"/>
      <w:pPr>
        <w:ind w:left="1420" w:hanging="580"/>
      </w:pPr>
      <w:rPr>
        <w:rFonts w:hint="default"/>
      </w:rPr>
    </w:lvl>
    <w:lvl w:ilvl="3" w:tentative="0">
      <w:start w:val="1"/>
      <w:numFmt w:val="decimal"/>
      <w:lvlText w:val="%4."/>
      <w:lvlJc w:val="left"/>
      <w:pPr>
        <w:ind w:left="1620" w:hanging="360"/>
      </w:pPr>
      <w:rPr>
        <w:rFonts w:ascii="Times New Roman" w:hAnsi="Times New Roman" w:eastAsia="宋体" w:cs="Times New Roman"/>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51108FC"/>
    <w:multiLevelType w:val="multilevel"/>
    <w:tmpl w:val="651108FC"/>
    <w:lvl w:ilvl="0" w:tentative="0">
      <w:start w:val="1"/>
      <w:numFmt w:val="decimal"/>
      <w:lvlText w:val="%1）"/>
      <w:lvlJc w:val="left"/>
      <w:pPr>
        <w:ind w:left="360" w:hanging="360"/>
      </w:pPr>
      <w:rPr>
        <w:rFonts w:hint="default"/>
      </w:rPr>
    </w:lvl>
    <w:lvl w:ilvl="1" w:tentative="0">
      <w:start w:val="3"/>
      <w:numFmt w:val="japaneseCounting"/>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C3C7F83"/>
    <w:multiLevelType w:val="multilevel"/>
    <w:tmpl w:val="6C3C7F83"/>
    <w:lvl w:ilvl="0" w:tentative="0">
      <w:start w:val="1"/>
      <w:numFmt w:val="chineseCountingThousand"/>
      <w:pStyle w:val="131"/>
      <w:lvlText w:val="%1、"/>
      <w:lvlJc w:val="left"/>
      <w:pPr>
        <w:tabs>
          <w:tab w:val="left" w:pos="851"/>
        </w:tabs>
        <w:ind w:left="851" w:hanging="567"/>
      </w:pPr>
      <w:rPr>
        <w:rFonts w:hint="eastAsia"/>
      </w:rPr>
    </w:lvl>
    <w:lvl w:ilvl="1" w:tentative="0">
      <w:start w:val="1"/>
      <w:numFmt w:val="decimal"/>
      <w:lvlText w:val="%2."/>
      <w:lvlJc w:val="left"/>
      <w:pPr>
        <w:tabs>
          <w:tab w:val="left" w:pos="964"/>
        </w:tabs>
        <w:ind w:left="964" w:hanging="397"/>
      </w:pPr>
      <w:rPr>
        <w:rFonts w:hint="eastAsia"/>
        <w:b w:val="0"/>
        <w:i w:val="0"/>
      </w:rPr>
    </w:lvl>
    <w:lvl w:ilvl="2" w:tentative="0">
      <w:start w:val="1"/>
      <w:numFmt w:val="decimal"/>
      <w:lvlText w:val="%2.%3"/>
      <w:lvlJc w:val="left"/>
      <w:pPr>
        <w:tabs>
          <w:tab w:val="left" w:pos="1531"/>
        </w:tabs>
        <w:ind w:left="1531" w:hanging="567"/>
      </w:pPr>
      <w:rPr>
        <w:rFonts w:hint="eastAsia"/>
        <w:b w:val="0"/>
        <w:i w:val="0"/>
      </w:rPr>
    </w:lvl>
    <w:lvl w:ilvl="3" w:tentative="0">
      <w:start w:val="1"/>
      <w:numFmt w:val="upperLetter"/>
      <w:lvlText w:val="%4."/>
      <w:lvlJc w:val="left"/>
      <w:pPr>
        <w:tabs>
          <w:tab w:val="left" w:pos="1928"/>
        </w:tabs>
        <w:ind w:left="1928" w:hanging="397"/>
      </w:pPr>
      <w:rPr>
        <w:rFonts w:hint="eastAsia"/>
      </w:rPr>
    </w:lvl>
    <w:lvl w:ilvl="4" w:tentative="0">
      <w:start w:val="1"/>
      <w:numFmt w:val="decimal"/>
      <w:lvlText w:val="%5）"/>
      <w:lvlJc w:val="left"/>
      <w:pPr>
        <w:tabs>
          <w:tab w:val="left" w:pos="2325"/>
        </w:tabs>
        <w:ind w:left="2325" w:hanging="397"/>
      </w:pPr>
      <w:rPr>
        <w:rFonts w:hint="eastAsia"/>
      </w:rPr>
    </w:lvl>
    <w:lvl w:ilvl="5" w:tentative="0">
      <w:start w:val="1"/>
      <w:numFmt w:val="lowerLetter"/>
      <w:lvlText w:val="%6."/>
      <w:lvlJc w:val="left"/>
      <w:pPr>
        <w:tabs>
          <w:tab w:val="left" w:pos="2409"/>
        </w:tabs>
        <w:ind w:left="2409" w:hanging="425"/>
      </w:pPr>
      <w:rPr>
        <w:rFonts w:hint="eastAsia"/>
      </w:rPr>
    </w:lvl>
    <w:lvl w:ilvl="6" w:tentative="0">
      <w:start w:val="1"/>
      <w:numFmt w:val="lowerRoman"/>
      <w:lvlText w:val="%7."/>
      <w:lvlJc w:val="left"/>
      <w:pPr>
        <w:tabs>
          <w:tab w:val="left" w:pos="2835"/>
        </w:tabs>
        <w:ind w:left="2835" w:hanging="426"/>
      </w:pPr>
      <w:rPr>
        <w:rFonts w:hint="eastAsia"/>
      </w:rPr>
    </w:lvl>
    <w:lvl w:ilvl="7" w:tentative="0">
      <w:start w:val="1"/>
      <w:numFmt w:val="lowerLetter"/>
      <w:lvlText w:val="%8."/>
      <w:lvlJc w:val="left"/>
      <w:pPr>
        <w:tabs>
          <w:tab w:val="left" w:pos="3260"/>
        </w:tabs>
        <w:ind w:left="3260" w:hanging="425"/>
      </w:pPr>
      <w:rPr>
        <w:rFonts w:hint="eastAsia"/>
      </w:rPr>
    </w:lvl>
    <w:lvl w:ilvl="8" w:tentative="0">
      <w:start w:val="1"/>
      <w:numFmt w:val="lowerRoman"/>
      <w:lvlText w:val="%9."/>
      <w:lvlJc w:val="left"/>
      <w:pPr>
        <w:tabs>
          <w:tab w:val="left" w:pos="3685"/>
        </w:tabs>
        <w:ind w:left="3685" w:hanging="425"/>
      </w:pPr>
      <w:rPr>
        <w:rFonts w:hint="eastAsia"/>
      </w:rPr>
    </w:lvl>
  </w:abstractNum>
  <w:abstractNum w:abstractNumId="8">
    <w:nsid w:val="7A45A39C"/>
    <w:multiLevelType w:val="singleLevel"/>
    <w:tmpl w:val="7A45A39C"/>
    <w:lvl w:ilvl="0" w:tentative="0">
      <w:start w:val="3"/>
      <w:numFmt w:val="chineseCounting"/>
      <w:suff w:val="space"/>
      <w:lvlText w:val="第%1章"/>
      <w:lvlJc w:val="left"/>
      <w:rPr>
        <w:rFonts w:hint="eastAsia"/>
      </w:rPr>
    </w:lvl>
  </w:abstractNum>
  <w:num w:numId="1">
    <w:abstractNumId w:val="7"/>
  </w:num>
  <w:num w:numId="2">
    <w:abstractNumId w:val="4"/>
  </w:num>
  <w:num w:numId="3">
    <w:abstractNumId w:val="5"/>
  </w:num>
  <w:num w:numId="4">
    <w:abstractNumId w:val="3"/>
  </w:num>
  <w:num w:numId="5">
    <w:abstractNumId w:val="2"/>
  </w:num>
  <w:num w:numId="6">
    <w:abstractNumId w:val="6"/>
  </w:num>
  <w:num w:numId="7">
    <w:abstractNumId w:val="0"/>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3YjQwZDY0ZjExOTBjM2I3NGFlZDY0ZTYwMWYzYTIifQ=="/>
  </w:docVars>
  <w:rsids>
    <w:rsidRoot w:val="00172A27"/>
    <w:rsid w:val="0000164A"/>
    <w:rsid w:val="000023D7"/>
    <w:rsid w:val="000044A2"/>
    <w:rsid w:val="00012AAA"/>
    <w:rsid w:val="000224FC"/>
    <w:rsid w:val="00031928"/>
    <w:rsid w:val="00033E0F"/>
    <w:rsid w:val="00036B42"/>
    <w:rsid w:val="00036C96"/>
    <w:rsid w:val="00040077"/>
    <w:rsid w:val="00045349"/>
    <w:rsid w:val="00052D60"/>
    <w:rsid w:val="00052E38"/>
    <w:rsid w:val="0005334A"/>
    <w:rsid w:val="00055E81"/>
    <w:rsid w:val="00056CD7"/>
    <w:rsid w:val="0005769B"/>
    <w:rsid w:val="00061034"/>
    <w:rsid w:val="00061A9E"/>
    <w:rsid w:val="00065DB0"/>
    <w:rsid w:val="00067B74"/>
    <w:rsid w:val="00067E59"/>
    <w:rsid w:val="0007025A"/>
    <w:rsid w:val="00077B22"/>
    <w:rsid w:val="00080FCC"/>
    <w:rsid w:val="000815F6"/>
    <w:rsid w:val="0008676F"/>
    <w:rsid w:val="000910BA"/>
    <w:rsid w:val="000A616F"/>
    <w:rsid w:val="000B2ED1"/>
    <w:rsid w:val="000B4F63"/>
    <w:rsid w:val="000B6BE5"/>
    <w:rsid w:val="000C0008"/>
    <w:rsid w:val="000C724F"/>
    <w:rsid w:val="000D3098"/>
    <w:rsid w:val="000D6979"/>
    <w:rsid w:val="000D6FBC"/>
    <w:rsid w:val="000E082C"/>
    <w:rsid w:val="000E3B81"/>
    <w:rsid w:val="000E6FB9"/>
    <w:rsid w:val="000E7E0D"/>
    <w:rsid w:val="000F4581"/>
    <w:rsid w:val="000F60E2"/>
    <w:rsid w:val="001000F7"/>
    <w:rsid w:val="00102D60"/>
    <w:rsid w:val="001040B0"/>
    <w:rsid w:val="0011320B"/>
    <w:rsid w:val="00115401"/>
    <w:rsid w:val="001156CC"/>
    <w:rsid w:val="00116F1B"/>
    <w:rsid w:val="00147F74"/>
    <w:rsid w:val="001530D8"/>
    <w:rsid w:val="0015535C"/>
    <w:rsid w:val="0016393A"/>
    <w:rsid w:val="0016413A"/>
    <w:rsid w:val="00170795"/>
    <w:rsid w:val="00170C6B"/>
    <w:rsid w:val="00172A27"/>
    <w:rsid w:val="00174475"/>
    <w:rsid w:val="0017750A"/>
    <w:rsid w:val="0018167A"/>
    <w:rsid w:val="00186C16"/>
    <w:rsid w:val="001920D9"/>
    <w:rsid w:val="001926CB"/>
    <w:rsid w:val="001937C6"/>
    <w:rsid w:val="0019394E"/>
    <w:rsid w:val="00194A67"/>
    <w:rsid w:val="001A4565"/>
    <w:rsid w:val="001A490F"/>
    <w:rsid w:val="001B4AD0"/>
    <w:rsid w:val="001B657A"/>
    <w:rsid w:val="001B6D47"/>
    <w:rsid w:val="001C6364"/>
    <w:rsid w:val="001C7E7B"/>
    <w:rsid w:val="001D18D7"/>
    <w:rsid w:val="001E0821"/>
    <w:rsid w:val="001E15F3"/>
    <w:rsid w:val="001E3D20"/>
    <w:rsid w:val="001E3F23"/>
    <w:rsid w:val="001E4B82"/>
    <w:rsid w:val="001E7AD9"/>
    <w:rsid w:val="001F16D3"/>
    <w:rsid w:val="001F2339"/>
    <w:rsid w:val="001F4665"/>
    <w:rsid w:val="001F5A05"/>
    <w:rsid w:val="00202178"/>
    <w:rsid w:val="00202C60"/>
    <w:rsid w:val="00212DD1"/>
    <w:rsid w:val="0021481E"/>
    <w:rsid w:val="00216E43"/>
    <w:rsid w:val="002266B6"/>
    <w:rsid w:val="00227731"/>
    <w:rsid w:val="00227A4A"/>
    <w:rsid w:val="002320B9"/>
    <w:rsid w:val="0023319C"/>
    <w:rsid w:val="0023415B"/>
    <w:rsid w:val="002347C6"/>
    <w:rsid w:val="002375E1"/>
    <w:rsid w:val="00243696"/>
    <w:rsid w:val="00253363"/>
    <w:rsid w:val="00257B2D"/>
    <w:rsid w:val="00257B50"/>
    <w:rsid w:val="0026341C"/>
    <w:rsid w:val="00263A7A"/>
    <w:rsid w:val="002647B3"/>
    <w:rsid w:val="00265F09"/>
    <w:rsid w:val="00273113"/>
    <w:rsid w:val="00273872"/>
    <w:rsid w:val="00281978"/>
    <w:rsid w:val="00292BE3"/>
    <w:rsid w:val="00294B88"/>
    <w:rsid w:val="002972BF"/>
    <w:rsid w:val="002A0DE7"/>
    <w:rsid w:val="002A198E"/>
    <w:rsid w:val="002A3105"/>
    <w:rsid w:val="002A3C65"/>
    <w:rsid w:val="002B08A2"/>
    <w:rsid w:val="002B4D58"/>
    <w:rsid w:val="002B57E9"/>
    <w:rsid w:val="002B5883"/>
    <w:rsid w:val="002C082A"/>
    <w:rsid w:val="002C087B"/>
    <w:rsid w:val="002C1251"/>
    <w:rsid w:val="002C1269"/>
    <w:rsid w:val="002C349E"/>
    <w:rsid w:val="002D2AE1"/>
    <w:rsid w:val="002D4A7B"/>
    <w:rsid w:val="002D7B5A"/>
    <w:rsid w:val="002E0FAA"/>
    <w:rsid w:val="002E576B"/>
    <w:rsid w:val="002E7DA4"/>
    <w:rsid w:val="002F04F2"/>
    <w:rsid w:val="002F14F3"/>
    <w:rsid w:val="002F5FD9"/>
    <w:rsid w:val="00305BB9"/>
    <w:rsid w:val="00305DD4"/>
    <w:rsid w:val="003067D8"/>
    <w:rsid w:val="00313410"/>
    <w:rsid w:val="003206C9"/>
    <w:rsid w:val="00320CCE"/>
    <w:rsid w:val="0032106A"/>
    <w:rsid w:val="00322376"/>
    <w:rsid w:val="00324073"/>
    <w:rsid w:val="003313C8"/>
    <w:rsid w:val="00334937"/>
    <w:rsid w:val="0033682C"/>
    <w:rsid w:val="00337BB2"/>
    <w:rsid w:val="00340C3D"/>
    <w:rsid w:val="0034612F"/>
    <w:rsid w:val="00356624"/>
    <w:rsid w:val="00357158"/>
    <w:rsid w:val="0036086A"/>
    <w:rsid w:val="00362E65"/>
    <w:rsid w:val="003664A0"/>
    <w:rsid w:val="00371B1F"/>
    <w:rsid w:val="00373056"/>
    <w:rsid w:val="00376787"/>
    <w:rsid w:val="00377D0A"/>
    <w:rsid w:val="00377E95"/>
    <w:rsid w:val="003823B0"/>
    <w:rsid w:val="00382EB7"/>
    <w:rsid w:val="00384472"/>
    <w:rsid w:val="00392491"/>
    <w:rsid w:val="00392B7F"/>
    <w:rsid w:val="003940C1"/>
    <w:rsid w:val="003A164D"/>
    <w:rsid w:val="003A1BD7"/>
    <w:rsid w:val="003A20C7"/>
    <w:rsid w:val="003A25EC"/>
    <w:rsid w:val="003A6025"/>
    <w:rsid w:val="003A6930"/>
    <w:rsid w:val="003B17FD"/>
    <w:rsid w:val="003B39C2"/>
    <w:rsid w:val="003B6999"/>
    <w:rsid w:val="003B7D0D"/>
    <w:rsid w:val="003C101F"/>
    <w:rsid w:val="003C6BAF"/>
    <w:rsid w:val="003D071C"/>
    <w:rsid w:val="003D3434"/>
    <w:rsid w:val="003D404F"/>
    <w:rsid w:val="003E077F"/>
    <w:rsid w:val="003E0F99"/>
    <w:rsid w:val="003E1C67"/>
    <w:rsid w:val="003E3082"/>
    <w:rsid w:val="003E452B"/>
    <w:rsid w:val="003F0AB0"/>
    <w:rsid w:val="003F330C"/>
    <w:rsid w:val="003F693F"/>
    <w:rsid w:val="00410F05"/>
    <w:rsid w:val="00411476"/>
    <w:rsid w:val="0042170D"/>
    <w:rsid w:val="00425896"/>
    <w:rsid w:val="00426738"/>
    <w:rsid w:val="00426F22"/>
    <w:rsid w:val="00427A9B"/>
    <w:rsid w:val="00433F2F"/>
    <w:rsid w:val="00435D7D"/>
    <w:rsid w:val="00437497"/>
    <w:rsid w:val="00440178"/>
    <w:rsid w:val="0044065B"/>
    <w:rsid w:val="00440AE2"/>
    <w:rsid w:val="00443298"/>
    <w:rsid w:val="00444A1F"/>
    <w:rsid w:val="0044500C"/>
    <w:rsid w:val="00451F69"/>
    <w:rsid w:val="004528ED"/>
    <w:rsid w:val="004575E7"/>
    <w:rsid w:val="00465591"/>
    <w:rsid w:val="00465A1B"/>
    <w:rsid w:val="004718B8"/>
    <w:rsid w:val="004737DA"/>
    <w:rsid w:val="00475B93"/>
    <w:rsid w:val="004764B7"/>
    <w:rsid w:val="00480816"/>
    <w:rsid w:val="00480F6D"/>
    <w:rsid w:val="00482A1A"/>
    <w:rsid w:val="0048469C"/>
    <w:rsid w:val="004867A4"/>
    <w:rsid w:val="00491889"/>
    <w:rsid w:val="004928BD"/>
    <w:rsid w:val="0049688F"/>
    <w:rsid w:val="004A1C04"/>
    <w:rsid w:val="004A28CA"/>
    <w:rsid w:val="004A7AEA"/>
    <w:rsid w:val="004B7D46"/>
    <w:rsid w:val="004C1517"/>
    <w:rsid w:val="004C41B0"/>
    <w:rsid w:val="004C445E"/>
    <w:rsid w:val="004C6A55"/>
    <w:rsid w:val="004C6F67"/>
    <w:rsid w:val="004D1840"/>
    <w:rsid w:val="004D4237"/>
    <w:rsid w:val="004E44A6"/>
    <w:rsid w:val="004E6086"/>
    <w:rsid w:val="004E79A4"/>
    <w:rsid w:val="004F48FD"/>
    <w:rsid w:val="00505100"/>
    <w:rsid w:val="00506832"/>
    <w:rsid w:val="00521828"/>
    <w:rsid w:val="00521F87"/>
    <w:rsid w:val="005228B0"/>
    <w:rsid w:val="005260E6"/>
    <w:rsid w:val="005266D5"/>
    <w:rsid w:val="00530383"/>
    <w:rsid w:val="005313AA"/>
    <w:rsid w:val="005318CA"/>
    <w:rsid w:val="005318DA"/>
    <w:rsid w:val="005322BB"/>
    <w:rsid w:val="005332A2"/>
    <w:rsid w:val="00534FD2"/>
    <w:rsid w:val="005423E9"/>
    <w:rsid w:val="00543064"/>
    <w:rsid w:val="005438E7"/>
    <w:rsid w:val="005469A9"/>
    <w:rsid w:val="0054724A"/>
    <w:rsid w:val="00563843"/>
    <w:rsid w:val="0056525D"/>
    <w:rsid w:val="00567488"/>
    <w:rsid w:val="00567FBC"/>
    <w:rsid w:val="00571715"/>
    <w:rsid w:val="00571824"/>
    <w:rsid w:val="00572B76"/>
    <w:rsid w:val="00576BEB"/>
    <w:rsid w:val="00581315"/>
    <w:rsid w:val="00583541"/>
    <w:rsid w:val="00584EE7"/>
    <w:rsid w:val="00585C52"/>
    <w:rsid w:val="005878EC"/>
    <w:rsid w:val="0059028E"/>
    <w:rsid w:val="005907A9"/>
    <w:rsid w:val="0059103B"/>
    <w:rsid w:val="005939A8"/>
    <w:rsid w:val="00593D96"/>
    <w:rsid w:val="00597352"/>
    <w:rsid w:val="005A0134"/>
    <w:rsid w:val="005A2ABC"/>
    <w:rsid w:val="005A33F4"/>
    <w:rsid w:val="005B1CE7"/>
    <w:rsid w:val="005B289E"/>
    <w:rsid w:val="005B49F4"/>
    <w:rsid w:val="005B59F5"/>
    <w:rsid w:val="005B5BE4"/>
    <w:rsid w:val="005B5F7A"/>
    <w:rsid w:val="005B792C"/>
    <w:rsid w:val="005B7EE9"/>
    <w:rsid w:val="005C2305"/>
    <w:rsid w:val="005C2A03"/>
    <w:rsid w:val="005C3496"/>
    <w:rsid w:val="005C3897"/>
    <w:rsid w:val="005C6818"/>
    <w:rsid w:val="005D10F9"/>
    <w:rsid w:val="005D26F1"/>
    <w:rsid w:val="005D3C65"/>
    <w:rsid w:val="005D496E"/>
    <w:rsid w:val="005D52C5"/>
    <w:rsid w:val="005E3DC6"/>
    <w:rsid w:val="005E60E9"/>
    <w:rsid w:val="005E7B47"/>
    <w:rsid w:val="005F35FA"/>
    <w:rsid w:val="005F45C3"/>
    <w:rsid w:val="005F6F7F"/>
    <w:rsid w:val="00600646"/>
    <w:rsid w:val="0060255A"/>
    <w:rsid w:val="0061042A"/>
    <w:rsid w:val="00615957"/>
    <w:rsid w:val="00616C9F"/>
    <w:rsid w:val="00623018"/>
    <w:rsid w:val="0062594F"/>
    <w:rsid w:val="00626687"/>
    <w:rsid w:val="0062734B"/>
    <w:rsid w:val="00633A32"/>
    <w:rsid w:val="006344F4"/>
    <w:rsid w:val="00634C83"/>
    <w:rsid w:val="00640B0C"/>
    <w:rsid w:val="00644AA0"/>
    <w:rsid w:val="00652961"/>
    <w:rsid w:val="00656B9A"/>
    <w:rsid w:val="00657713"/>
    <w:rsid w:val="00662F7F"/>
    <w:rsid w:val="00663CDC"/>
    <w:rsid w:val="00675A93"/>
    <w:rsid w:val="00682564"/>
    <w:rsid w:val="00683989"/>
    <w:rsid w:val="00684DB7"/>
    <w:rsid w:val="006947AB"/>
    <w:rsid w:val="00696FEB"/>
    <w:rsid w:val="006A00CE"/>
    <w:rsid w:val="006A04CF"/>
    <w:rsid w:val="006A241E"/>
    <w:rsid w:val="006A4EAC"/>
    <w:rsid w:val="006B659F"/>
    <w:rsid w:val="006B798C"/>
    <w:rsid w:val="006C3CF8"/>
    <w:rsid w:val="006C424F"/>
    <w:rsid w:val="006C4A86"/>
    <w:rsid w:val="006C5A1A"/>
    <w:rsid w:val="006C71F5"/>
    <w:rsid w:val="006C75CF"/>
    <w:rsid w:val="006D2485"/>
    <w:rsid w:val="006D3EF2"/>
    <w:rsid w:val="006D570B"/>
    <w:rsid w:val="006E0781"/>
    <w:rsid w:val="006E1582"/>
    <w:rsid w:val="006E1F15"/>
    <w:rsid w:val="006E2F58"/>
    <w:rsid w:val="006E37CB"/>
    <w:rsid w:val="006E487C"/>
    <w:rsid w:val="006E53E3"/>
    <w:rsid w:val="006F1403"/>
    <w:rsid w:val="006F2B27"/>
    <w:rsid w:val="00701193"/>
    <w:rsid w:val="00701A14"/>
    <w:rsid w:val="00701C0D"/>
    <w:rsid w:val="00703617"/>
    <w:rsid w:val="0070395A"/>
    <w:rsid w:val="00706204"/>
    <w:rsid w:val="00706391"/>
    <w:rsid w:val="00710277"/>
    <w:rsid w:val="00712065"/>
    <w:rsid w:val="007173AC"/>
    <w:rsid w:val="007232C4"/>
    <w:rsid w:val="00737B71"/>
    <w:rsid w:val="007436D4"/>
    <w:rsid w:val="00750859"/>
    <w:rsid w:val="00751F3C"/>
    <w:rsid w:val="0075258E"/>
    <w:rsid w:val="00754364"/>
    <w:rsid w:val="00755458"/>
    <w:rsid w:val="00756488"/>
    <w:rsid w:val="007625BE"/>
    <w:rsid w:val="00765543"/>
    <w:rsid w:val="00766521"/>
    <w:rsid w:val="0077433F"/>
    <w:rsid w:val="00776908"/>
    <w:rsid w:val="007807C5"/>
    <w:rsid w:val="00781BF3"/>
    <w:rsid w:val="007839B5"/>
    <w:rsid w:val="00785589"/>
    <w:rsid w:val="00791829"/>
    <w:rsid w:val="007922EB"/>
    <w:rsid w:val="0079791A"/>
    <w:rsid w:val="007A0196"/>
    <w:rsid w:val="007A2C82"/>
    <w:rsid w:val="007A3E37"/>
    <w:rsid w:val="007A468B"/>
    <w:rsid w:val="007B46D0"/>
    <w:rsid w:val="007B7DB5"/>
    <w:rsid w:val="007B7F07"/>
    <w:rsid w:val="007C2114"/>
    <w:rsid w:val="007C5CDC"/>
    <w:rsid w:val="007D049A"/>
    <w:rsid w:val="007D29EA"/>
    <w:rsid w:val="007D3A51"/>
    <w:rsid w:val="007D4341"/>
    <w:rsid w:val="007D48E7"/>
    <w:rsid w:val="007D58DC"/>
    <w:rsid w:val="007D64F2"/>
    <w:rsid w:val="007D7141"/>
    <w:rsid w:val="007E7F77"/>
    <w:rsid w:val="007F411B"/>
    <w:rsid w:val="00801E3A"/>
    <w:rsid w:val="00802087"/>
    <w:rsid w:val="00802B62"/>
    <w:rsid w:val="00804C5B"/>
    <w:rsid w:val="0080714C"/>
    <w:rsid w:val="00807320"/>
    <w:rsid w:val="00807659"/>
    <w:rsid w:val="008077AF"/>
    <w:rsid w:val="00807E02"/>
    <w:rsid w:val="00813189"/>
    <w:rsid w:val="0082128B"/>
    <w:rsid w:val="00824667"/>
    <w:rsid w:val="008252E7"/>
    <w:rsid w:val="00827C9B"/>
    <w:rsid w:val="00831913"/>
    <w:rsid w:val="00832077"/>
    <w:rsid w:val="00842A34"/>
    <w:rsid w:val="00844EFD"/>
    <w:rsid w:val="0086602E"/>
    <w:rsid w:val="0086790E"/>
    <w:rsid w:val="00870572"/>
    <w:rsid w:val="00876ED1"/>
    <w:rsid w:val="00885889"/>
    <w:rsid w:val="0088739A"/>
    <w:rsid w:val="0089526E"/>
    <w:rsid w:val="008A1CDD"/>
    <w:rsid w:val="008A52AB"/>
    <w:rsid w:val="008B6452"/>
    <w:rsid w:val="008C0525"/>
    <w:rsid w:val="008C1B1E"/>
    <w:rsid w:val="008C523C"/>
    <w:rsid w:val="008C76B3"/>
    <w:rsid w:val="008D1AF2"/>
    <w:rsid w:val="008D349A"/>
    <w:rsid w:val="008D3C91"/>
    <w:rsid w:val="008D69A0"/>
    <w:rsid w:val="008E2D44"/>
    <w:rsid w:val="008F5087"/>
    <w:rsid w:val="009039B0"/>
    <w:rsid w:val="00911941"/>
    <w:rsid w:val="00912B14"/>
    <w:rsid w:val="00913AB2"/>
    <w:rsid w:val="00925654"/>
    <w:rsid w:val="00926274"/>
    <w:rsid w:val="00926B85"/>
    <w:rsid w:val="0093185F"/>
    <w:rsid w:val="0093239F"/>
    <w:rsid w:val="00932D6B"/>
    <w:rsid w:val="00933BCC"/>
    <w:rsid w:val="00936225"/>
    <w:rsid w:val="00936984"/>
    <w:rsid w:val="009371A4"/>
    <w:rsid w:val="00941828"/>
    <w:rsid w:val="0094762B"/>
    <w:rsid w:val="009630D3"/>
    <w:rsid w:val="009632A2"/>
    <w:rsid w:val="009664FB"/>
    <w:rsid w:val="0096655A"/>
    <w:rsid w:val="00966596"/>
    <w:rsid w:val="00967D6D"/>
    <w:rsid w:val="00970999"/>
    <w:rsid w:val="0097210B"/>
    <w:rsid w:val="00973E74"/>
    <w:rsid w:val="00976E3D"/>
    <w:rsid w:val="00981EF7"/>
    <w:rsid w:val="00987E93"/>
    <w:rsid w:val="00991665"/>
    <w:rsid w:val="009924AA"/>
    <w:rsid w:val="009959E0"/>
    <w:rsid w:val="009A04C3"/>
    <w:rsid w:val="009A2322"/>
    <w:rsid w:val="009A4EBA"/>
    <w:rsid w:val="009B71B5"/>
    <w:rsid w:val="009C03A0"/>
    <w:rsid w:val="009C0D31"/>
    <w:rsid w:val="009C4369"/>
    <w:rsid w:val="009C7F6B"/>
    <w:rsid w:val="009D172F"/>
    <w:rsid w:val="009D21C1"/>
    <w:rsid w:val="009D2FC2"/>
    <w:rsid w:val="009D514C"/>
    <w:rsid w:val="009D59B4"/>
    <w:rsid w:val="009E09A7"/>
    <w:rsid w:val="009E51BE"/>
    <w:rsid w:val="009E6566"/>
    <w:rsid w:val="009E75F0"/>
    <w:rsid w:val="009F2D30"/>
    <w:rsid w:val="009F48D1"/>
    <w:rsid w:val="00A00EF5"/>
    <w:rsid w:val="00A02213"/>
    <w:rsid w:val="00A02D18"/>
    <w:rsid w:val="00A07088"/>
    <w:rsid w:val="00A10050"/>
    <w:rsid w:val="00A1654F"/>
    <w:rsid w:val="00A1773D"/>
    <w:rsid w:val="00A22578"/>
    <w:rsid w:val="00A23F64"/>
    <w:rsid w:val="00A241FC"/>
    <w:rsid w:val="00A24ACA"/>
    <w:rsid w:val="00A24D05"/>
    <w:rsid w:val="00A26875"/>
    <w:rsid w:val="00A26ABB"/>
    <w:rsid w:val="00A528A3"/>
    <w:rsid w:val="00A63C62"/>
    <w:rsid w:val="00A6544B"/>
    <w:rsid w:val="00A70B67"/>
    <w:rsid w:val="00A70F02"/>
    <w:rsid w:val="00A719F4"/>
    <w:rsid w:val="00A73231"/>
    <w:rsid w:val="00A80E5C"/>
    <w:rsid w:val="00A8365F"/>
    <w:rsid w:val="00A83913"/>
    <w:rsid w:val="00A90F28"/>
    <w:rsid w:val="00A90F7A"/>
    <w:rsid w:val="00A936EA"/>
    <w:rsid w:val="00A94151"/>
    <w:rsid w:val="00AA26F7"/>
    <w:rsid w:val="00AA6E29"/>
    <w:rsid w:val="00AB1584"/>
    <w:rsid w:val="00AB2D15"/>
    <w:rsid w:val="00AC5589"/>
    <w:rsid w:val="00AD2408"/>
    <w:rsid w:val="00AD3804"/>
    <w:rsid w:val="00AD452D"/>
    <w:rsid w:val="00AD6AA8"/>
    <w:rsid w:val="00AE2E5E"/>
    <w:rsid w:val="00AE3E38"/>
    <w:rsid w:val="00AE6030"/>
    <w:rsid w:val="00AF19A2"/>
    <w:rsid w:val="00AF759A"/>
    <w:rsid w:val="00B03756"/>
    <w:rsid w:val="00B03761"/>
    <w:rsid w:val="00B048DA"/>
    <w:rsid w:val="00B10586"/>
    <w:rsid w:val="00B11A14"/>
    <w:rsid w:val="00B131E0"/>
    <w:rsid w:val="00B13A24"/>
    <w:rsid w:val="00B20196"/>
    <w:rsid w:val="00B3501E"/>
    <w:rsid w:val="00B35FEA"/>
    <w:rsid w:val="00B41826"/>
    <w:rsid w:val="00B477C9"/>
    <w:rsid w:val="00B508E3"/>
    <w:rsid w:val="00B50E73"/>
    <w:rsid w:val="00B57977"/>
    <w:rsid w:val="00B57E5E"/>
    <w:rsid w:val="00B608EF"/>
    <w:rsid w:val="00B61239"/>
    <w:rsid w:val="00B612BD"/>
    <w:rsid w:val="00B6219B"/>
    <w:rsid w:val="00B62EBC"/>
    <w:rsid w:val="00B66CB4"/>
    <w:rsid w:val="00B66D42"/>
    <w:rsid w:val="00B74345"/>
    <w:rsid w:val="00B832D7"/>
    <w:rsid w:val="00B83ACC"/>
    <w:rsid w:val="00B865C9"/>
    <w:rsid w:val="00B8661E"/>
    <w:rsid w:val="00B869AE"/>
    <w:rsid w:val="00B86DD7"/>
    <w:rsid w:val="00B900B3"/>
    <w:rsid w:val="00B91178"/>
    <w:rsid w:val="00B92C8E"/>
    <w:rsid w:val="00B93320"/>
    <w:rsid w:val="00B94CD7"/>
    <w:rsid w:val="00BA0EE0"/>
    <w:rsid w:val="00BA28C5"/>
    <w:rsid w:val="00BA5007"/>
    <w:rsid w:val="00BA5569"/>
    <w:rsid w:val="00BB0747"/>
    <w:rsid w:val="00BB07C5"/>
    <w:rsid w:val="00BB1D01"/>
    <w:rsid w:val="00BB35CB"/>
    <w:rsid w:val="00BC1589"/>
    <w:rsid w:val="00BC2E24"/>
    <w:rsid w:val="00BD562B"/>
    <w:rsid w:val="00BE550B"/>
    <w:rsid w:val="00BE7FDD"/>
    <w:rsid w:val="00BF51B0"/>
    <w:rsid w:val="00C01A33"/>
    <w:rsid w:val="00C06555"/>
    <w:rsid w:val="00C06B0A"/>
    <w:rsid w:val="00C20652"/>
    <w:rsid w:val="00C259DC"/>
    <w:rsid w:val="00C26731"/>
    <w:rsid w:val="00C303BA"/>
    <w:rsid w:val="00C35838"/>
    <w:rsid w:val="00C40AEA"/>
    <w:rsid w:val="00C41F70"/>
    <w:rsid w:val="00C4550A"/>
    <w:rsid w:val="00C45777"/>
    <w:rsid w:val="00C46B46"/>
    <w:rsid w:val="00C54F93"/>
    <w:rsid w:val="00C5659D"/>
    <w:rsid w:val="00C56DA9"/>
    <w:rsid w:val="00C63120"/>
    <w:rsid w:val="00C636C8"/>
    <w:rsid w:val="00C66C15"/>
    <w:rsid w:val="00C717E8"/>
    <w:rsid w:val="00C75CB0"/>
    <w:rsid w:val="00C832E0"/>
    <w:rsid w:val="00C86B0D"/>
    <w:rsid w:val="00C96427"/>
    <w:rsid w:val="00C96BB3"/>
    <w:rsid w:val="00C96FCF"/>
    <w:rsid w:val="00CA38C7"/>
    <w:rsid w:val="00CA5D79"/>
    <w:rsid w:val="00CA61EF"/>
    <w:rsid w:val="00CA732D"/>
    <w:rsid w:val="00CB022F"/>
    <w:rsid w:val="00CB0437"/>
    <w:rsid w:val="00CB05D4"/>
    <w:rsid w:val="00CB380D"/>
    <w:rsid w:val="00CB433F"/>
    <w:rsid w:val="00CB519E"/>
    <w:rsid w:val="00CB5527"/>
    <w:rsid w:val="00CC2C55"/>
    <w:rsid w:val="00CC2ED5"/>
    <w:rsid w:val="00CC4012"/>
    <w:rsid w:val="00CC6B96"/>
    <w:rsid w:val="00CD04BC"/>
    <w:rsid w:val="00CD325F"/>
    <w:rsid w:val="00CD608A"/>
    <w:rsid w:val="00CE4109"/>
    <w:rsid w:val="00CE6146"/>
    <w:rsid w:val="00CF14CC"/>
    <w:rsid w:val="00CF3719"/>
    <w:rsid w:val="00CF6630"/>
    <w:rsid w:val="00CF75DA"/>
    <w:rsid w:val="00D00A5A"/>
    <w:rsid w:val="00D01D17"/>
    <w:rsid w:val="00D02D31"/>
    <w:rsid w:val="00D02FCB"/>
    <w:rsid w:val="00D10E8D"/>
    <w:rsid w:val="00D11CEB"/>
    <w:rsid w:val="00D171FC"/>
    <w:rsid w:val="00D17527"/>
    <w:rsid w:val="00D209C3"/>
    <w:rsid w:val="00D214D6"/>
    <w:rsid w:val="00D237A3"/>
    <w:rsid w:val="00D23ED8"/>
    <w:rsid w:val="00D23F4F"/>
    <w:rsid w:val="00D26231"/>
    <w:rsid w:val="00D273E0"/>
    <w:rsid w:val="00D3450F"/>
    <w:rsid w:val="00D416A0"/>
    <w:rsid w:val="00D42FAD"/>
    <w:rsid w:val="00D45E95"/>
    <w:rsid w:val="00D46F2C"/>
    <w:rsid w:val="00D549FB"/>
    <w:rsid w:val="00D56073"/>
    <w:rsid w:val="00D57D97"/>
    <w:rsid w:val="00D61F16"/>
    <w:rsid w:val="00D764B6"/>
    <w:rsid w:val="00D805C9"/>
    <w:rsid w:val="00D8288B"/>
    <w:rsid w:val="00D865ED"/>
    <w:rsid w:val="00D87009"/>
    <w:rsid w:val="00D90F33"/>
    <w:rsid w:val="00D9106F"/>
    <w:rsid w:val="00D927E7"/>
    <w:rsid w:val="00DA5DB5"/>
    <w:rsid w:val="00DA71AD"/>
    <w:rsid w:val="00DB50EA"/>
    <w:rsid w:val="00DB5FDB"/>
    <w:rsid w:val="00DB6DF9"/>
    <w:rsid w:val="00DC4BBE"/>
    <w:rsid w:val="00DC7651"/>
    <w:rsid w:val="00DC7C95"/>
    <w:rsid w:val="00DD73E8"/>
    <w:rsid w:val="00DE025A"/>
    <w:rsid w:val="00DE1E02"/>
    <w:rsid w:val="00DE7D23"/>
    <w:rsid w:val="00DF1FF1"/>
    <w:rsid w:val="00DF27F6"/>
    <w:rsid w:val="00DF35A5"/>
    <w:rsid w:val="00DF491F"/>
    <w:rsid w:val="00DF65FF"/>
    <w:rsid w:val="00DF7482"/>
    <w:rsid w:val="00E00A98"/>
    <w:rsid w:val="00E01578"/>
    <w:rsid w:val="00E019C2"/>
    <w:rsid w:val="00E068FD"/>
    <w:rsid w:val="00E11954"/>
    <w:rsid w:val="00E1644C"/>
    <w:rsid w:val="00E1650D"/>
    <w:rsid w:val="00E202BB"/>
    <w:rsid w:val="00E230E1"/>
    <w:rsid w:val="00E27FAB"/>
    <w:rsid w:val="00E302B3"/>
    <w:rsid w:val="00E37534"/>
    <w:rsid w:val="00E375BA"/>
    <w:rsid w:val="00E44306"/>
    <w:rsid w:val="00E45FB6"/>
    <w:rsid w:val="00E47258"/>
    <w:rsid w:val="00E543B4"/>
    <w:rsid w:val="00E608EE"/>
    <w:rsid w:val="00E61963"/>
    <w:rsid w:val="00E62CF7"/>
    <w:rsid w:val="00E63E95"/>
    <w:rsid w:val="00E67700"/>
    <w:rsid w:val="00E742F5"/>
    <w:rsid w:val="00E81D5B"/>
    <w:rsid w:val="00E90A2F"/>
    <w:rsid w:val="00EA2FBB"/>
    <w:rsid w:val="00EA40B1"/>
    <w:rsid w:val="00EB0904"/>
    <w:rsid w:val="00EB0C2C"/>
    <w:rsid w:val="00EB55D9"/>
    <w:rsid w:val="00EB5A13"/>
    <w:rsid w:val="00EC3E75"/>
    <w:rsid w:val="00ED1672"/>
    <w:rsid w:val="00ED2D2B"/>
    <w:rsid w:val="00ED395E"/>
    <w:rsid w:val="00ED4C97"/>
    <w:rsid w:val="00EE0700"/>
    <w:rsid w:val="00EE405F"/>
    <w:rsid w:val="00EE5670"/>
    <w:rsid w:val="00EE6394"/>
    <w:rsid w:val="00EE6828"/>
    <w:rsid w:val="00EE6BED"/>
    <w:rsid w:val="00EE72C5"/>
    <w:rsid w:val="00EF0C4F"/>
    <w:rsid w:val="00EF0D41"/>
    <w:rsid w:val="00EF1D4A"/>
    <w:rsid w:val="00EF6414"/>
    <w:rsid w:val="00EF78A2"/>
    <w:rsid w:val="00F0090C"/>
    <w:rsid w:val="00F0204D"/>
    <w:rsid w:val="00F02E17"/>
    <w:rsid w:val="00F03012"/>
    <w:rsid w:val="00F114B2"/>
    <w:rsid w:val="00F1465D"/>
    <w:rsid w:val="00F1627A"/>
    <w:rsid w:val="00F244C1"/>
    <w:rsid w:val="00F42DF6"/>
    <w:rsid w:val="00F44AB7"/>
    <w:rsid w:val="00F463C0"/>
    <w:rsid w:val="00F467D1"/>
    <w:rsid w:val="00F46C27"/>
    <w:rsid w:val="00F53D60"/>
    <w:rsid w:val="00F5562C"/>
    <w:rsid w:val="00F60DE7"/>
    <w:rsid w:val="00F61FD4"/>
    <w:rsid w:val="00F62151"/>
    <w:rsid w:val="00F66901"/>
    <w:rsid w:val="00F739CE"/>
    <w:rsid w:val="00F74EDA"/>
    <w:rsid w:val="00F75414"/>
    <w:rsid w:val="00F75C9B"/>
    <w:rsid w:val="00F76F8C"/>
    <w:rsid w:val="00F800C2"/>
    <w:rsid w:val="00F819E5"/>
    <w:rsid w:val="00F823C3"/>
    <w:rsid w:val="00F83D40"/>
    <w:rsid w:val="00F861D3"/>
    <w:rsid w:val="00F92DF5"/>
    <w:rsid w:val="00F93BF8"/>
    <w:rsid w:val="00F953BA"/>
    <w:rsid w:val="00F97133"/>
    <w:rsid w:val="00FA1711"/>
    <w:rsid w:val="00FB6A15"/>
    <w:rsid w:val="00FB6B5B"/>
    <w:rsid w:val="00FB7157"/>
    <w:rsid w:val="00FC0CF9"/>
    <w:rsid w:val="00FD0AFB"/>
    <w:rsid w:val="00FD7C00"/>
    <w:rsid w:val="00FE377E"/>
    <w:rsid w:val="00FF10DA"/>
    <w:rsid w:val="00FF1FE0"/>
    <w:rsid w:val="00FF210D"/>
    <w:rsid w:val="00FF4407"/>
    <w:rsid w:val="00FF5BD1"/>
    <w:rsid w:val="017D1F56"/>
    <w:rsid w:val="01930B2A"/>
    <w:rsid w:val="028638BF"/>
    <w:rsid w:val="02D037B2"/>
    <w:rsid w:val="02F02B1E"/>
    <w:rsid w:val="04114082"/>
    <w:rsid w:val="046E3282"/>
    <w:rsid w:val="04FE4606"/>
    <w:rsid w:val="05743C03"/>
    <w:rsid w:val="05777859"/>
    <w:rsid w:val="05D33298"/>
    <w:rsid w:val="05DE1812"/>
    <w:rsid w:val="07130904"/>
    <w:rsid w:val="074F1149"/>
    <w:rsid w:val="098D00B6"/>
    <w:rsid w:val="0A8423AB"/>
    <w:rsid w:val="0AE413E8"/>
    <w:rsid w:val="0C5F2641"/>
    <w:rsid w:val="0CC80727"/>
    <w:rsid w:val="0CF72F15"/>
    <w:rsid w:val="0D1E1170"/>
    <w:rsid w:val="0DB7355E"/>
    <w:rsid w:val="0E294F6E"/>
    <w:rsid w:val="0E685D8F"/>
    <w:rsid w:val="0F3B7854"/>
    <w:rsid w:val="0FE92B27"/>
    <w:rsid w:val="0FF52F57"/>
    <w:rsid w:val="10371AD9"/>
    <w:rsid w:val="10BA49C5"/>
    <w:rsid w:val="110F36F7"/>
    <w:rsid w:val="1137377A"/>
    <w:rsid w:val="12241424"/>
    <w:rsid w:val="137876B1"/>
    <w:rsid w:val="143766B6"/>
    <w:rsid w:val="15FA4976"/>
    <w:rsid w:val="16C61857"/>
    <w:rsid w:val="174423F1"/>
    <w:rsid w:val="179F6931"/>
    <w:rsid w:val="17F35B20"/>
    <w:rsid w:val="18B3705E"/>
    <w:rsid w:val="1980310F"/>
    <w:rsid w:val="1A490C76"/>
    <w:rsid w:val="1AB4036B"/>
    <w:rsid w:val="1B414DF5"/>
    <w:rsid w:val="1B561261"/>
    <w:rsid w:val="1BA86C22"/>
    <w:rsid w:val="1D3F93FE"/>
    <w:rsid w:val="1D7E5E8C"/>
    <w:rsid w:val="1EA812F0"/>
    <w:rsid w:val="1EAB3350"/>
    <w:rsid w:val="1EAB3ADF"/>
    <w:rsid w:val="1F054FD2"/>
    <w:rsid w:val="1F2739F5"/>
    <w:rsid w:val="1FBF7985"/>
    <w:rsid w:val="2030250A"/>
    <w:rsid w:val="219A568B"/>
    <w:rsid w:val="22760455"/>
    <w:rsid w:val="22FB5E73"/>
    <w:rsid w:val="249963E7"/>
    <w:rsid w:val="24C85C3F"/>
    <w:rsid w:val="25CF1144"/>
    <w:rsid w:val="267D5C58"/>
    <w:rsid w:val="26C07516"/>
    <w:rsid w:val="27482E1C"/>
    <w:rsid w:val="288F1ADA"/>
    <w:rsid w:val="28DF7EBA"/>
    <w:rsid w:val="29373393"/>
    <w:rsid w:val="29A24CB1"/>
    <w:rsid w:val="29CA38BD"/>
    <w:rsid w:val="2A3A7BC7"/>
    <w:rsid w:val="2A82145C"/>
    <w:rsid w:val="2BB37649"/>
    <w:rsid w:val="2BCC641B"/>
    <w:rsid w:val="2BF65788"/>
    <w:rsid w:val="2CBD695D"/>
    <w:rsid w:val="2D374B7D"/>
    <w:rsid w:val="2D4B38B1"/>
    <w:rsid w:val="2D98342D"/>
    <w:rsid w:val="2DDC56DB"/>
    <w:rsid w:val="2EA821BB"/>
    <w:rsid w:val="2EEF266B"/>
    <w:rsid w:val="2F601896"/>
    <w:rsid w:val="2F9E1E2F"/>
    <w:rsid w:val="2FF67363"/>
    <w:rsid w:val="2FF83486"/>
    <w:rsid w:val="301D1984"/>
    <w:rsid w:val="30254F6A"/>
    <w:rsid w:val="334318E7"/>
    <w:rsid w:val="33C4477D"/>
    <w:rsid w:val="33DB3D9E"/>
    <w:rsid w:val="342310E4"/>
    <w:rsid w:val="34E73EBF"/>
    <w:rsid w:val="35F6693B"/>
    <w:rsid w:val="377D9D1E"/>
    <w:rsid w:val="379F0A81"/>
    <w:rsid w:val="37F765B4"/>
    <w:rsid w:val="380E5DAA"/>
    <w:rsid w:val="385534DD"/>
    <w:rsid w:val="39724CF0"/>
    <w:rsid w:val="39F95E72"/>
    <w:rsid w:val="39FA481C"/>
    <w:rsid w:val="3AC32CD9"/>
    <w:rsid w:val="3B4C67D8"/>
    <w:rsid w:val="3BDE290C"/>
    <w:rsid w:val="3D314871"/>
    <w:rsid w:val="3D7D1865"/>
    <w:rsid w:val="3E3E556E"/>
    <w:rsid w:val="3F751B1B"/>
    <w:rsid w:val="3FA31EC6"/>
    <w:rsid w:val="3FF74112"/>
    <w:rsid w:val="4068438D"/>
    <w:rsid w:val="413D7411"/>
    <w:rsid w:val="41712937"/>
    <w:rsid w:val="41D02245"/>
    <w:rsid w:val="41E06FF4"/>
    <w:rsid w:val="42AF358B"/>
    <w:rsid w:val="430B098D"/>
    <w:rsid w:val="432509D4"/>
    <w:rsid w:val="43E73EDC"/>
    <w:rsid w:val="442F3D6B"/>
    <w:rsid w:val="44E564DD"/>
    <w:rsid w:val="4534463F"/>
    <w:rsid w:val="45AC0F39"/>
    <w:rsid w:val="461C27B5"/>
    <w:rsid w:val="482C45B3"/>
    <w:rsid w:val="48334C1A"/>
    <w:rsid w:val="48540CBC"/>
    <w:rsid w:val="48D74CE6"/>
    <w:rsid w:val="49506308"/>
    <w:rsid w:val="495E090E"/>
    <w:rsid w:val="499C301F"/>
    <w:rsid w:val="4B4C75CE"/>
    <w:rsid w:val="4B8054D6"/>
    <w:rsid w:val="4C0A1E57"/>
    <w:rsid w:val="4D0B5FEA"/>
    <w:rsid w:val="4DBF6E37"/>
    <w:rsid w:val="4E0C779B"/>
    <w:rsid w:val="4ECB0943"/>
    <w:rsid w:val="4F90367A"/>
    <w:rsid w:val="50A86755"/>
    <w:rsid w:val="514A0800"/>
    <w:rsid w:val="52A40355"/>
    <w:rsid w:val="52D10231"/>
    <w:rsid w:val="5313356D"/>
    <w:rsid w:val="53F561A1"/>
    <w:rsid w:val="548668C7"/>
    <w:rsid w:val="54B25E40"/>
    <w:rsid w:val="554A7ADE"/>
    <w:rsid w:val="55E16072"/>
    <w:rsid w:val="55E92453"/>
    <w:rsid w:val="561045CF"/>
    <w:rsid w:val="56AD676E"/>
    <w:rsid w:val="579B0E0D"/>
    <w:rsid w:val="589A13CD"/>
    <w:rsid w:val="58EE5CD6"/>
    <w:rsid w:val="5A236E98"/>
    <w:rsid w:val="5BA008CE"/>
    <w:rsid w:val="5BAF30D9"/>
    <w:rsid w:val="5BC7CCFA"/>
    <w:rsid w:val="5CDA61C8"/>
    <w:rsid w:val="5CDF0247"/>
    <w:rsid w:val="5D6D4539"/>
    <w:rsid w:val="5DD0112E"/>
    <w:rsid w:val="5E1F1D96"/>
    <w:rsid w:val="5E4734BD"/>
    <w:rsid w:val="5E602469"/>
    <w:rsid w:val="5F7D34CC"/>
    <w:rsid w:val="605A4A9F"/>
    <w:rsid w:val="62D578C9"/>
    <w:rsid w:val="63FEFDC3"/>
    <w:rsid w:val="64025DF0"/>
    <w:rsid w:val="65D7688D"/>
    <w:rsid w:val="668B5CF0"/>
    <w:rsid w:val="6822421C"/>
    <w:rsid w:val="684016B3"/>
    <w:rsid w:val="68410C2A"/>
    <w:rsid w:val="69765236"/>
    <w:rsid w:val="6978FF6C"/>
    <w:rsid w:val="69977043"/>
    <w:rsid w:val="69BD2E65"/>
    <w:rsid w:val="69C62CDC"/>
    <w:rsid w:val="6B2F0969"/>
    <w:rsid w:val="6B451364"/>
    <w:rsid w:val="6B5DEF14"/>
    <w:rsid w:val="6D877A12"/>
    <w:rsid w:val="6ED83966"/>
    <w:rsid w:val="6F2E13B2"/>
    <w:rsid w:val="6FBDFFD6"/>
    <w:rsid w:val="71331C7A"/>
    <w:rsid w:val="718C6759"/>
    <w:rsid w:val="719941B8"/>
    <w:rsid w:val="728478F9"/>
    <w:rsid w:val="72C154D1"/>
    <w:rsid w:val="737547B1"/>
    <w:rsid w:val="743FE77F"/>
    <w:rsid w:val="746FEFD6"/>
    <w:rsid w:val="749F6CBF"/>
    <w:rsid w:val="74A23383"/>
    <w:rsid w:val="753A4072"/>
    <w:rsid w:val="764D0031"/>
    <w:rsid w:val="76620108"/>
    <w:rsid w:val="76AF3B36"/>
    <w:rsid w:val="76F75976"/>
    <w:rsid w:val="773F8413"/>
    <w:rsid w:val="77954AC0"/>
    <w:rsid w:val="77C9104E"/>
    <w:rsid w:val="77DF6AD7"/>
    <w:rsid w:val="77ED3131"/>
    <w:rsid w:val="78102FAC"/>
    <w:rsid w:val="79D83D80"/>
    <w:rsid w:val="79EB7193"/>
    <w:rsid w:val="79F848CB"/>
    <w:rsid w:val="7A5C26FC"/>
    <w:rsid w:val="7AFE0B55"/>
    <w:rsid w:val="7B176BAB"/>
    <w:rsid w:val="7BBB2C1E"/>
    <w:rsid w:val="7C333918"/>
    <w:rsid w:val="7C6333F8"/>
    <w:rsid w:val="7D3F6DBA"/>
    <w:rsid w:val="7DAA2DA0"/>
    <w:rsid w:val="7DDE6882"/>
    <w:rsid w:val="7EF306C4"/>
    <w:rsid w:val="7F1FC962"/>
    <w:rsid w:val="7F7F34EF"/>
    <w:rsid w:val="7F9D0728"/>
    <w:rsid w:val="7FD2775A"/>
    <w:rsid w:val="7FFF050B"/>
    <w:rsid w:val="AEA3F9BF"/>
    <w:rsid w:val="B6FD7A0B"/>
    <w:rsid w:val="BCFE2886"/>
    <w:rsid w:val="D37F5BA1"/>
    <w:rsid w:val="D7EDC1C5"/>
    <w:rsid w:val="D97F6DA5"/>
    <w:rsid w:val="DBEDF4C9"/>
    <w:rsid w:val="DF7A00BD"/>
    <w:rsid w:val="DF9EA2B8"/>
    <w:rsid w:val="DFAF1467"/>
    <w:rsid w:val="E5FD10C0"/>
    <w:rsid w:val="ECFB1E42"/>
    <w:rsid w:val="F2FF900B"/>
    <w:rsid w:val="F5F77B5F"/>
    <w:rsid w:val="F6BB8B4F"/>
    <w:rsid w:val="F7BF1849"/>
    <w:rsid w:val="FAE3E5D0"/>
    <w:rsid w:val="FB3F063E"/>
    <w:rsid w:val="FDB26EF9"/>
    <w:rsid w:val="FDFBF1D8"/>
    <w:rsid w:val="FEED1888"/>
    <w:rsid w:val="FF33D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0" w:semiHidden="0" w:name="Date"/>
    <w:lsdException w:uiPriority="0" w:name="Body Text First Indent"/>
    <w:lsdException w:uiPriority="0" w:name="Body Text First Indent 2"/>
    <w:lsdException w:uiPriority="0" w:name="Note Heading"/>
    <w:lsdException w:qFormat="1" w:uiPriority="0" w:semiHidden="0" w:name="Body Text 2"/>
    <w:lsdException w:uiPriority="0" w:name="Body Text 3"/>
    <w:lsdException w:qFormat="1" w:uiPriority="0" w:semiHidden="0" w:name="Body Text Indent 2"/>
    <w:lsdException w:qFormat="1" w:uiPriority="0" w:semiHidden="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autoRedefine/>
    <w:qFormat/>
    <w:uiPriority w:val="9"/>
    <w:pPr>
      <w:keepLines/>
      <w:widowControl/>
      <w:spacing w:beforeLines="50" w:line="576" w:lineRule="auto"/>
      <w:jc w:val="center"/>
      <w:outlineLvl w:val="0"/>
    </w:pPr>
    <w:rPr>
      <w:rFonts w:eastAsia="黑体"/>
      <w:kern w:val="44"/>
      <w:sz w:val="52"/>
      <w:szCs w:val="44"/>
    </w:rPr>
  </w:style>
  <w:style w:type="paragraph" w:styleId="3">
    <w:name w:val="heading 2"/>
    <w:basedOn w:val="1"/>
    <w:next w:val="1"/>
    <w:link w:val="46"/>
    <w:qFormat/>
    <w:uiPriority w:val="9"/>
    <w:pPr>
      <w:keepNext/>
      <w:keepLines/>
      <w:tabs>
        <w:tab w:val="left" w:pos="720"/>
      </w:tabs>
      <w:spacing w:beforeLines="50" w:line="360" w:lineRule="auto"/>
      <w:jc w:val="center"/>
      <w:outlineLvl w:val="1"/>
    </w:pPr>
    <w:rPr>
      <w:rFonts w:ascii="宋体" w:hAnsi="宋体"/>
      <w:b/>
      <w:bCs/>
      <w:kern w:val="0"/>
      <w:sz w:val="28"/>
      <w:szCs w:val="32"/>
    </w:rPr>
  </w:style>
  <w:style w:type="paragraph" w:styleId="4">
    <w:name w:val="heading 3"/>
    <w:basedOn w:val="1"/>
    <w:next w:val="1"/>
    <w:link w:val="47"/>
    <w:qFormat/>
    <w:uiPriority w:val="9"/>
    <w:pPr>
      <w:keepLines/>
      <w:widowControl/>
      <w:tabs>
        <w:tab w:val="left" w:pos="720"/>
      </w:tabs>
      <w:adjustRightInd w:val="0"/>
      <w:snapToGrid w:val="0"/>
      <w:spacing w:beforeLines="50" w:line="440" w:lineRule="exact"/>
      <w:ind w:left="821" w:hanging="821" w:hangingChars="342"/>
      <w:jc w:val="center"/>
      <w:outlineLvl w:val="2"/>
    </w:pPr>
    <w:rPr>
      <w:rFonts w:ascii="黑体" w:hAnsi="宋体" w:eastAsia="黑体"/>
      <w:kern w:val="0"/>
      <w:sz w:val="24"/>
      <w:szCs w:val="32"/>
    </w:rPr>
  </w:style>
  <w:style w:type="paragraph" w:styleId="5">
    <w:name w:val="heading 4"/>
    <w:basedOn w:val="1"/>
    <w:next w:val="1"/>
    <w:link w:val="48"/>
    <w:qFormat/>
    <w:uiPriority w:val="9"/>
    <w:pPr>
      <w:keepNext/>
      <w:keepLines/>
      <w:widowControl/>
      <w:spacing w:before="200" w:line="276" w:lineRule="auto"/>
      <w:jc w:val="left"/>
      <w:outlineLvl w:val="3"/>
    </w:pPr>
    <w:rPr>
      <w:rFonts w:ascii="Cambria" w:hAnsi="Cambria"/>
      <w:b/>
      <w:bCs/>
      <w:i/>
      <w:iCs/>
      <w:color w:val="4F81BD"/>
      <w:kern w:val="0"/>
      <w:sz w:val="22"/>
      <w:lang w:eastAsia="en-US" w:bidi="en-US"/>
    </w:rPr>
  </w:style>
  <w:style w:type="paragraph" w:styleId="6">
    <w:name w:val="heading 5"/>
    <w:basedOn w:val="1"/>
    <w:next w:val="1"/>
    <w:link w:val="49"/>
    <w:autoRedefine/>
    <w:qFormat/>
    <w:uiPriority w:val="9"/>
    <w:pPr>
      <w:widowControl/>
      <w:tabs>
        <w:tab w:val="left" w:pos="432"/>
      </w:tabs>
      <w:spacing w:beforeLines="50"/>
      <w:ind w:left="2016" w:hanging="1008"/>
      <w:jc w:val="left"/>
      <w:outlineLvl w:val="4"/>
    </w:pPr>
    <w:rPr>
      <w:rFonts w:ascii="Arial" w:hAnsi="Arial"/>
      <w:b/>
      <w:i/>
      <w:kern w:val="0"/>
      <w:sz w:val="26"/>
    </w:rPr>
  </w:style>
  <w:style w:type="paragraph" w:styleId="7">
    <w:name w:val="heading 6"/>
    <w:basedOn w:val="1"/>
    <w:next w:val="1"/>
    <w:link w:val="50"/>
    <w:qFormat/>
    <w:uiPriority w:val="9"/>
    <w:pPr>
      <w:widowControl/>
      <w:tabs>
        <w:tab w:val="left" w:pos="432"/>
      </w:tabs>
      <w:spacing w:beforeLines="50"/>
      <w:ind w:left="2304" w:hanging="1152"/>
      <w:jc w:val="left"/>
      <w:outlineLvl w:val="5"/>
    </w:pPr>
    <w:rPr>
      <w:rFonts w:ascii="Arial" w:hAnsi="Arial"/>
      <w:b/>
      <w:kern w:val="0"/>
      <w:sz w:val="24"/>
    </w:rPr>
  </w:style>
  <w:style w:type="paragraph" w:styleId="8">
    <w:name w:val="heading 7"/>
    <w:basedOn w:val="1"/>
    <w:next w:val="1"/>
    <w:link w:val="51"/>
    <w:qFormat/>
    <w:uiPriority w:val="9"/>
    <w:pPr>
      <w:keepNext/>
      <w:keepLines/>
      <w:widowControl/>
      <w:spacing w:beforeLines="50" w:line="316" w:lineRule="auto"/>
      <w:jc w:val="left"/>
      <w:outlineLvl w:val="6"/>
    </w:pPr>
    <w:rPr>
      <w:b/>
      <w:bCs/>
      <w:kern w:val="0"/>
      <w:sz w:val="24"/>
      <w:szCs w:val="24"/>
    </w:rPr>
  </w:style>
  <w:style w:type="paragraph" w:styleId="9">
    <w:name w:val="heading 8"/>
    <w:basedOn w:val="1"/>
    <w:next w:val="1"/>
    <w:link w:val="52"/>
    <w:qFormat/>
    <w:uiPriority w:val="9"/>
    <w:pPr>
      <w:keepNext/>
      <w:keepLines/>
      <w:widowControl/>
      <w:spacing w:beforeLines="50" w:line="316" w:lineRule="auto"/>
      <w:jc w:val="left"/>
      <w:outlineLvl w:val="7"/>
    </w:pPr>
    <w:rPr>
      <w:rFonts w:ascii="Arial" w:hAnsi="Arial" w:eastAsia="黑体"/>
      <w:kern w:val="0"/>
      <w:sz w:val="24"/>
      <w:szCs w:val="24"/>
    </w:rPr>
  </w:style>
  <w:style w:type="paragraph" w:styleId="10">
    <w:name w:val="heading 9"/>
    <w:basedOn w:val="1"/>
    <w:next w:val="1"/>
    <w:link w:val="53"/>
    <w:qFormat/>
    <w:uiPriority w:val="9"/>
    <w:pPr>
      <w:keepNext/>
      <w:keepLines/>
      <w:widowControl/>
      <w:spacing w:beforeLines="50" w:line="316" w:lineRule="auto"/>
      <w:jc w:val="left"/>
      <w:outlineLvl w:val="8"/>
    </w:pPr>
    <w:rPr>
      <w:rFonts w:ascii="Arial" w:hAnsi="Arial" w:eastAsia="黑体"/>
      <w:kern w:val="0"/>
      <w:sz w:val="24"/>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260"/>
      <w:jc w:val="left"/>
    </w:pPr>
    <w:rPr>
      <w:rFonts w:ascii="Calibri" w:hAnsi="Calibri"/>
      <w:sz w:val="20"/>
    </w:rPr>
  </w:style>
  <w:style w:type="paragraph" w:styleId="12">
    <w:name w:val="Normal Indent"/>
    <w:basedOn w:val="1"/>
    <w:unhideWhenUsed/>
    <w:qFormat/>
    <w:uiPriority w:val="0"/>
    <w:pPr>
      <w:adjustRightInd w:val="0"/>
      <w:spacing w:line="360" w:lineRule="atLeast"/>
      <w:ind w:firstLine="482"/>
    </w:pPr>
    <w:rPr>
      <w:kern w:val="0"/>
      <w:sz w:val="24"/>
      <w:szCs w:val="24"/>
    </w:rPr>
  </w:style>
  <w:style w:type="paragraph" w:styleId="13">
    <w:name w:val="caption"/>
    <w:basedOn w:val="1"/>
    <w:next w:val="1"/>
    <w:qFormat/>
    <w:uiPriority w:val="35"/>
    <w:pPr>
      <w:widowControl/>
      <w:spacing w:after="200"/>
      <w:jc w:val="left"/>
    </w:pPr>
    <w:rPr>
      <w:rFonts w:ascii="Calibri" w:hAnsi="Calibri"/>
      <w:b/>
      <w:bCs/>
      <w:color w:val="4F81BD"/>
      <w:kern w:val="0"/>
      <w:sz w:val="18"/>
      <w:szCs w:val="18"/>
      <w:lang w:eastAsia="en-US" w:bidi="en-US"/>
    </w:rPr>
  </w:style>
  <w:style w:type="paragraph" w:styleId="14">
    <w:name w:val="Document Map"/>
    <w:basedOn w:val="1"/>
    <w:link w:val="54"/>
    <w:autoRedefine/>
    <w:unhideWhenUsed/>
    <w:qFormat/>
    <w:uiPriority w:val="0"/>
    <w:pPr>
      <w:shd w:val="clear" w:color="auto" w:fill="000080"/>
    </w:pPr>
    <w:rPr>
      <w:kern w:val="0"/>
      <w:sz w:val="20"/>
      <w:szCs w:val="24"/>
    </w:rPr>
  </w:style>
  <w:style w:type="paragraph" w:styleId="15">
    <w:name w:val="annotation text"/>
    <w:basedOn w:val="1"/>
    <w:link w:val="55"/>
    <w:unhideWhenUsed/>
    <w:qFormat/>
    <w:uiPriority w:val="0"/>
    <w:pPr>
      <w:jc w:val="left"/>
    </w:pPr>
    <w:rPr>
      <w:kern w:val="0"/>
      <w:sz w:val="20"/>
    </w:rPr>
  </w:style>
  <w:style w:type="paragraph" w:styleId="16">
    <w:name w:val="Body Text"/>
    <w:basedOn w:val="1"/>
    <w:link w:val="56"/>
    <w:unhideWhenUsed/>
    <w:qFormat/>
    <w:uiPriority w:val="0"/>
    <w:rPr>
      <w:kern w:val="0"/>
      <w:sz w:val="30"/>
      <w:szCs w:val="24"/>
    </w:rPr>
  </w:style>
  <w:style w:type="paragraph" w:styleId="17">
    <w:name w:val="Body Text Indent"/>
    <w:basedOn w:val="1"/>
    <w:link w:val="57"/>
    <w:unhideWhenUsed/>
    <w:qFormat/>
    <w:uiPriority w:val="0"/>
    <w:pPr>
      <w:spacing w:line="480" w:lineRule="exact"/>
      <w:ind w:left="180" w:firstLine="658" w:firstLineChars="235"/>
    </w:pPr>
    <w:rPr>
      <w:kern w:val="0"/>
      <w:sz w:val="28"/>
      <w:szCs w:val="24"/>
    </w:rPr>
  </w:style>
  <w:style w:type="paragraph" w:styleId="18">
    <w:name w:val="toc 5"/>
    <w:basedOn w:val="1"/>
    <w:next w:val="1"/>
    <w:autoRedefine/>
    <w:unhideWhenUsed/>
    <w:qFormat/>
    <w:uiPriority w:val="39"/>
    <w:pPr>
      <w:ind w:left="840"/>
      <w:jc w:val="left"/>
    </w:pPr>
    <w:rPr>
      <w:rFonts w:ascii="Calibri" w:hAnsi="Calibri"/>
      <w:sz w:val="20"/>
    </w:rPr>
  </w:style>
  <w:style w:type="paragraph" w:styleId="19">
    <w:name w:val="toc 3"/>
    <w:basedOn w:val="1"/>
    <w:next w:val="1"/>
    <w:autoRedefine/>
    <w:unhideWhenUsed/>
    <w:qFormat/>
    <w:uiPriority w:val="39"/>
    <w:pPr>
      <w:ind w:left="420"/>
      <w:jc w:val="left"/>
    </w:pPr>
    <w:rPr>
      <w:rFonts w:ascii="Calibri" w:hAnsi="Calibri"/>
    </w:rPr>
  </w:style>
  <w:style w:type="paragraph" w:styleId="20">
    <w:name w:val="Plain Text"/>
    <w:basedOn w:val="1"/>
    <w:link w:val="58"/>
    <w:autoRedefine/>
    <w:unhideWhenUsed/>
    <w:qFormat/>
    <w:uiPriority w:val="0"/>
    <w:rPr>
      <w:rFonts w:ascii="宋体" w:hAnsi="Courier New"/>
      <w:kern w:val="0"/>
      <w:sz w:val="20"/>
    </w:rPr>
  </w:style>
  <w:style w:type="paragraph" w:styleId="21">
    <w:name w:val="toc 8"/>
    <w:basedOn w:val="1"/>
    <w:next w:val="1"/>
    <w:autoRedefine/>
    <w:unhideWhenUsed/>
    <w:qFormat/>
    <w:uiPriority w:val="39"/>
    <w:pPr>
      <w:ind w:left="1470"/>
      <w:jc w:val="left"/>
    </w:pPr>
    <w:rPr>
      <w:rFonts w:ascii="Calibri" w:hAnsi="Calibri"/>
      <w:sz w:val="20"/>
    </w:rPr>
  </w:style>
  <w:style w:type="paragraph" w:styleId="22">
    <w:name w:val="Date"/>
    <w:basedOn w:val="1"/>
    <w:next w:val="1"/>
    <w:link w:val="59"/>
    <w:autoRedefine/>
    <w:unhideWhenUsed/>
    <w:qFormat/>
    <w:uiPriority w:val="0"/>
    <w:rPr>
      <w:kern w:val="0"/>
      <w:sz w:val="24"/>
    </w:rPr>
  </w:style>
  <w:style w:type="paragraph" w:styleId="23">
    <w:name w:val="Body Text Indent 2"/>
    <w:basedOn w:val="1"/>
    <w:link w:val="60"/>
    <w:autoRedefine/>
    <w:unhideWhenUsed/>
    <w:qFormat/>
    <w:uiPriority w:val="0"/>
    <w:pPr>
      <w:spacing w:after="120" w:line="480" w:lineRule="auto"/>
      <w:ind w:left="420" w:leftChars="200"/>
    </w:pPr>
    <w:rPr>
      <w:kern w:val="0"/>
      <w:sz w:val="20"/>
      <w:szCs w:val="24"/>
    </w:rPr>
  </w:style>
  <w:style w:type="paragraph" w:styleId="24">
    <w:name w:val="Balloon Text"/>
    <w:basedOn w:val="1"/>
    <w:link w:val="61"/>
    <w:unhideWhenUsed/>
    <w:qFormat/>
    <w:uiPriority w:val="0"/>
    <w:rPr>
      <w:kern w:val="0"/>
      <w:sz w:val="18"/>
      <w:szCs w:val="18"/>
    </w:rPr>
  </w:style>
  <w:style w:type="paragraph" w:styleId="25">
    <w:name w:val="footer"/>
    <w:basedOn w:val="1"/>
    <w:link w:val="62"/>
    <w:unhideWhenUsed/>
    <w:qFormat/>
    <w:uiPriority w:val="99"/>
    <w:pPr>
      <w:tabs>
        <w:tab w:val="center" w:pos="4153"/>
        <w:tab w:val="right" w:pos="8306"/>
      </w:tabs>
      <w:snapToGrid w:val="0"/>
      <w:jc w:val="left"/>
    </w:pPr>
    <w:rPr>
      <w:kern w:val="0"/>
      <w:sz w:val="18"/>
    </w:rPr>
  </w:style>
  <w:style w:type="paragraph" w:styleId="26">
    <w:name w:val="header"/>
    <w:basedOn w:val="1"/>
    <w:link w:val="63"/>
    <w:autoRedefine/>
    <w:unhideWhenUsed/>
    <w:qFormat/>
    <w:uiPriority w:val="99"/>
    <w:pPr>
      <w:tabs>
        <w:tab w:val="center" w:pos="4153"/>
        <w:tab w:val="right" w:pos="8306"/>
      </w:tabs>
      <w:snapToGrid w:val="0"/>
    </w:pPr>
    <w:rPr>
      <w:kern w:val="0"/>
      <w:sz w:val="18"/>
    </w:rPr>
  </w:style>
  <w:style w:type="paragraph" w:styleId="27">
    <w:name w:val="toc 1"/>
    <w:basedOn w:val="1"/>
    <w:next w:val="1"/>
    <w:autoRedefine/>
    <w:unhideWhenUsed/>
    <w:qFormat/>
    <w:uiPriority w:val="39"/>
    <w:pPr>
      <w:spacing w:before="240" w:after="120"/>
      <w:jc w:val="left"/>
    </w:pPr>
    <w:rPr>
      <w:rFonts w:ascii="Calibri" w:hAnsi="Calibri"/>
      <w:b/>
      <w:bCs/>
      <w:sz w:val="28"/>
    </w:rPr>
  </w:style>
  <w:style w:type="paragraph" w:styleId="28">
    <w:name w:val="toc 4"/>
    <w:basedOn w:val="1"/>
    <w:next w:val="1"/>
    <w:unhideWhenUsed/>
    <w:qFormat/>
    <w:uiPriority w:val="0"/>
    <w:pPr>
      <w:ind w:left="630"/>
      <w:jc w:val="left"/>
    </w:pPr>
    <w:rPr>
      <w:rFonts w:ascii="Calibri" w:hAnsi="Calibri"/>
      <w:sz w:val="20"/>
    </w:rPr>
  </w:style>
  <w:style w:type="paragraph" w:styleId="29">
    <w:name w:val="Subtitle"/>
    <w:basedOn w:val="1"/>
    <w:next w:val="1"/>
    <w:link w:val="64"/>
    <w:autoRedefine/>
    <w:qFormat/>
    <w:uiPriority w:val="11"/>
    <w:pPr>
      <w:widowControl/>
      <w:spacing w:after="200" w:line="276" w:lineRule="auto"/>
      <w:jc w:val="left"/>
    </w:pPr>
    <w:rPr>
      <w:rFonts w:ascii="Cambria" w:hAnsi="Cambria"/>
      <w:i/>
      <w:iCs/>
      <w:color w:val="4F81BD"/>
      <w:spacing w:val="15"/>
      <w:kern w:val="0"/>
      <w:sz w:val="24"/>
      <w:szCs w:val="24"/>
      <w:lang w:eastAsia="en-US" w:bidi="en-US"/>
    </w:rPr>
  </w:style>
  <w:style w:type="paragraph" w:styleId="30">
    <w:name w:val="toc 6"/>
    <w:basedOn w:val="1"/>
    <w:next w:val="1"/>
    <w:autoRedefine/>
    <w:unhideWhenUsed/>
    <w:qFormat/>
    <w:uiPriority w:val="39"/>
    <w:pPr>
      <w:ind w:left="1050"/>
      <w:jc w:val="left"/>
    </w:pPr>
    <w:rPr>
      <w:rFonts w:ascii="Calibri" w:hAnsi="Calibri"/>
      <w:sz w:val="20"/>
    </w:rPr>
  </w:style>
  <w:style w:type="paragraph" w:styleId="31">
    <w:name w:val="Body Text Indent 3"/>
    <w:basedOn w:val="1"/>
    <w:link w:val="65"/>
    <w:autoRedefine/>
    <w:unhideWhenUsed/>
    <w:qFormat/>
    <w:uiPriority w:val="0"/>
    <w:pPr>
      <w:spacing w:after="120"/>
      <w:ind w:left="420" w:leftChars="200"/>
    </w:pPr>
    <w:rPr>
      <w:kern w:val="0"/>
      <w:sz w:val="16"/>
      <w:szCs w:val="16"/>
    </w:rPr>
  </w:style>
  <w:style w:type="paragraph" w:styleId="32">
    <w:name w:val="toc 2"/>
    <w:basedOn w:val="1"/>
    <w:next w:val="1"/>
    <w:autoRedefine/>
    <w:unhideWhenUsed/>
    <w:qFormat/>
    <w:uiPriority w:val="39"/>
    <w:pPr>
      <w:spacing w:before="120"/>
      <w:ind w:left="210"/>
      <w:jc w:val="left"/>
    </w:pPr>
    <w:rPr>
      <w:rFonts w:ascii="Calibri" w:hAnsi="Calibri"/>
      <w:iCs/>
      <w:sz w:val="24"/>
    </w:rPr>
  </w:style>
  <w:style w:type="paragraph" w:styleId="33">
    <w:name w:val="toc 9"/>
    <w:basedOn w:val="1"/>
    <w:next w:val="1"/>
    <w:autoRedefine/>
    <w:unhideWhenUsed/>
    <w:qFormat/>
    <w:uiPriority w:val="39"/>
    <w:pPr>
      <w:ind w:left="1680"/>
      <w:jc w:val="left"/>
    </w:pPr>
    <w:rPr>
      <w:rFonts w:ascii="Calibri" w:hAnsi="Calibri"/>
      <w:sz w:val="20"/>
    </w:rPr>
  </w:style>
  <w:style w:type="paragraph" w:styleId="34">
    <w:name w:val="Body Text 2"/>
    <w:basedOn w:val="1"/>
    <w:link w:val="66"/>
    <w:autoRedefine/>
    <w:unhideWhenUsed/>
    <w:qFormat/>
    <w:uiPriority w:val="0"/>
    <w:pPr>
      <w:spacing w:beforeLines="50"/>
    </w:pPr>
    <w:rPr>
      <w:rFonts w:ascii="宋体" w:hAnsi="宋体"/>
      <w:kern w:val="0"/>
      <w:sz w:val="28"/>
      <w:szCs w:val="24"/>
    </w:rPr>
  </w:style>
  <w:style w:type="paragraph" w:styleId="35">
    <w:name w:val="Normal (Web)"/>
    <w:basedOn w:val="1"/>
    <w:autoRedefine/>
    <w:unhideWhenUsed/>
    <w:qFormat/>
    <w:uiPriority w:val="0"/>
    <w:pPr>
      <w:widowControl/>
      <w:spacing w:before="100" w:beforeAutospacing="1" w:after="100" w:afterAutospacing="1"/>
      <w:jc w:val="left"/>
    </w:pPr>
    <w:rPr>
      <w:rFonts w:ascii="宋体" w:hAnsi="宋体" w:cs="宋体"/>
      <w:kern w:val="0"/>
      <w:sz w:val="24"/>
      <w:szCs w:val="24"/>
    </w:rPr>
  </w:style>
  <w:style w:type="paragraph" w:styleId="36">
    <w:name w:val="Title"/>
    <w:basedOn w:val="1"/>
    <w:next w:val="1"/>
    <w:link w:val="67"/>
    <w:autoRedefine/>
    <w:qFormat/>
    <w:uiPriority w:val="0"/>
    <w:pPr>
      <w:spacing w:before="100" w:beforeAutospacing="1" w:after="100" w:afterAutospacing="1"/>
      <w:jc w:val="center"/>
      <w:outlineLvl w:val="1"/>
    </w:pPr>
    <w:rPr>
      <w:rFonts w:ascii="Arial" w:hAnsi="Arial"/>
      <w:bCs/>
      <w:kern w:val="0"/>
      <w:sz w:val="24"/>
      <w:szCs w:val="44"/>
    </w:rPr>
  </w:style>
  <w:style w:type="paragraph" w:styleId="37">
    <w:name w:val="annotation subject"/>
    <w:basedOn w:val="15"/>
    <w:next w:val="15"/>
    <w:link w:val="68"/>
    <w:unhideWhenUsed/>
    <w:qFormat/>
    <w:uiPriority w:val="0"/>
    <w:rPr>
      <w:b/>
      <w:bCs/>
      <w:szCs w:val="24"/>
    </w:rPr>
  </w:style>
  <w:style w:type="table" w:styleId="39">
    <w:name w:val="Table Grid"/>
    <w:basedOn w:val="3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FollowedHyperlink"/>
    <w:autoRedefine/>
    <w:unhideWhenUsed/>
    <w:qFormat/>
    <w:uiPriority w:val="99"/>
    <w:rPr>
      <w:color w:val="954F72"/>
      <w:u w:val="single"/>
    </w:rPr>
  </w:style>
  <w:style w:type="character" w:styleId="42">
    <w:name w:val="Hyperlink"/>
    <w:unhideWhenUsed/>
    <w:qFormat/>
    <w:uiPriority w:val="99"/>
    <w:rPr>
      <w:color w:val="0000FF"/>
      <w:u w:val="single"/>
    </w:rPr>
  </w:style>
  <w:style w:type="character" w:styleId="43">
    <w:name w:val="annotation reference"/>
    <w:unhideWhenUsed/>
    <w:qFormat/>
    <w:uiPriority w:val="99"/>
    <w:rPr>
      <w:sz w:val="21"/>
      <w:szCs w:val="21"/>
    </w:rPr>
  </w:style>
  <w:style w:type="character" w:styleId="44">
    <w:name w:val="footnote reference"/>
    <w:autoRedefine/>
    <w:unhideWhenUsed/>
    <w:qFormat/>
    <w:uiPriority w:val="0"/>
    <w:rPr>
      <w:vertAlign w:val="superscript"/>
    </w:rPr>
  </w:style>
  <w:style w:type="character" w:customStyle="1" w:styleId="45">
    <w:name w:val="标题 1 字符"/>
    <w:link w:val="2"/>
    <w:autoRedefine/>
    <w:qFormat/>
    <w:uiPriority w:val="9"/>
    <w:rPr>
      <w:rFonts w:ascii="Times New Roman" w:hAnsi="Times New Roman" w:eastAsia="黑体" w:cs="Times New Roman"/>
      <w:kern w:val="44"/>
      <w:sz w:val="52"/>
      <w:szCs w:val="44"/>
    </w:rPr>
  </w:style>
  <w:style w:type="character" w:customStyle="1" w:styleId="46">
    <w:name w:val="标题 2 字符"/>
    <w:link w:val="3"/>
    <w:autoRedefine/>
    <w:qFormat/>
    <w:uiPriority w:val="9"/>
    <w:rPr>
      <w:rFonts w:ascii="宋体" w:hAnsi="宋体" w:eastAsia="宋体" w:cs="Times New Roman"/>
      <w:b/>
      <w:bCs/>
      <w:kern w:val="0"/>
      <w:sz w:val="28"/>
      <w:szCs w:val="32"/>
    </w:rPr>
  </w:style>
  <w:style w:type="character" w:customStyle="1" w:styleId="47">
    <w:name w:val="标题 3 字符"/>
    <w:link w:val="4"/>
    <w:autoRedefine/>
    <w:qFormat/>
    <w:uiPriority w:val="9"/>
    <w:rPr>
      <w:rFonts w:ascii="黑体" w:hAnsi="宋体" w:eastAsia="黑体" w:cs="Times New Roman"/>
      <w:sz w:val="24"/>
      <w:szCs w:val="32"/>
    </w:rPr>
  </w:style>
  <w:style w:type="character" w:customStyle="1" w:styleId="48">
    <w:name w:val="标题 4 字符"/>
    <w:link w:val="5"/>
    <w:qFormat/>
    <w:uiPriority w:val="9"/>
    <w:rPr>
      <w:rFonts w:ascii="Cambria" w:hAnsi="Cambria" w:eastAsia="宋体" w:cs="Times New Roman"/>
      <w:b/>
      <w:bCs/>
      <w:i/>
      <w:iCs/>
      <w:color w:val="4F81BD"/>
      <w:kern w:val="0"/>
      <w:sz w:val="22"/>
      <w:lang w:eastAsia="en-US" w:bidi="en-US"/>
    </w:rPr>
  </w:style>
  <w:style w:type="character" w:customStyle="1" w:styleId="49">
    <w:name w:val="标题 5 字符"/>
    <w:link w:val="6"/>
    <w:qFormat/>
    <w:uiPriority w:val="9"/>
    <w:rPr>
      <w:rFonts w:ascii="Arial" w:hAnsi="Arial" w:eastAsia="宋体" w:cs="Times New Roman"/>
      <w:b/>
      <w:i/>
      <w:kern w:val="0"/>
      <w:sz w:val="26"/>
      <w:szCs w:val="20"/>
    </w:rPr>
  </w:style>
  <w:style w:type="character" w:customStyle="1" w:styleId="50">
    <w:name w:val="标题 6 字符"/>
    <w:link w:val="7"/>
    <w:autoRedefine/>
    <w:qFormat/>
    <w:uiPriority w:val="9"/>
    <w:rPr>
      <w:rFonts w:ascii="Arial" w:hAnsi="Arial" w:eastAsia="宋体" w:cs="Times New Roman"/>
      <w:b/>
      <w:kern w:val="0"/>
      <w:sz w:val="24"/>
      <w:szCs w:val="20"/>
    </w:rPr>
  </w:style>
  <w:style w:type="character" w:customStyle="1" w:styleId="51">
    <w:name w:val="标题 7 字符"/>
    <w:link w:val="8"/>
    <w:autoRedefine/>
    <w:qFormat/>
    <w:uiPriority w:val="9"/>
    <w:rPr>
      <w:rFonts w:ascii="Times New Roman" w:hAnsi="Times New Roman" w:eastAsia="宋体" w:cs="Times New Roman"/>
      <w:b/>
      <w:bCs/>
      <w:kern w:val="0"/>
      <w:sz w:val="24"/>
      <w:szCs w:val="24"/>
    </w:rPr>
  </w:style>
  <w:style w:type="character" w:customStyle="1" w:styleId="52">
    <w:name w:val="标题 8 字符"/>
    <w:link w:val="9"/>
    <w:autoRedefine/>
    <w:qFormat/>
    <w:uiPriority w:val="9"/>
    <w:rPr>
      <w:rFonts w:ascii="Arial" w:hAnsi="Arial" w:eastAsia="黑体" w:cs="Times New Roman"/>
      <w:kern w:val="0"/>
      <w:sz w:val="24"/>
      <w:szCs w:val="24"/>
    </w:rPr>
  </w:style>
  <w:style w:type="character" w:customStyle="1" w:styleId="53">
    <w:name w:val="标题 9 字符"/>
    <w:link w:val="10"/>
    <w:autoRedefine/>
    <w:qFormat/>
    <w:uiPriority w:val="9"/>
    <w:rPr>
      <w:rFonts w:ascii="Arial" w:hAnsi="Arial" w:eastAsia="黑体" w:cs="Times New Roman"/>
      <w:kern w:val="0"/>
      <w:sz w:val="24"/>
      <w:szCs w:val="21"/>
    </w:rPr>
  </w:style>
  <w:style w:type="character" w:customStyle="1" w:styleId="54">
    <w:name w:val="文档结构图 字符"/>
    <w:link w:val="14"/>
    <w:autoRedefine/>
    <w:qFormat/>
    <w:uiPriority w:val="0"/>
    <w:rPr>
      <w:rFonts w:ascii="Times New Roman" w:hAnsi="Times New Roman" w:eastAsia="宋体" w:cs="Times New Roman"/>
      <w:szCs w:val="24"/>
      <w:shd w:val="clear" w:color="auto" w:fill="000080"/>
    </w:rPr>
  </w:style>
  <w:style w:type="character" w:customStyle="1" w:styleId="55">
    <w:name w:val="批注文字 字符1"/>
    <w:link w:val="15"/>
    <w:autoRedefine/>
    <w:qFormat/>
    <w:uiPriority w:val="0"/>
    <w:rPr>
      <w:rFonts w:ascii="Times New Roman" w:hAnsi="Times New Roman" w:eastAsia="宋体" w:cs="Times New Roman"/>
      <w:szCs w:val="20"/>
    </w:rPr>
  </w:style>
  <w:style w:type="character" w:customStyle="1" w:styleId="56">
    <w:name w:val="正文文本 字符"/>
    <w:link w:val="16"/>
    <w:qFormat/>
    <w:uiPriority w:val="0"/>
    <w:rPr>
      <w:rFonts w:ascii="Times New Roman" w:hAnsi="Times New Roman" w:eastAsia="宋体" w:cs="Times New Roman"/>
      <w:sz w:val="30"/>
      <w:szCs w:val="24"/>
    </w:rPr>
  </w:style>
  <w:style w:type="character" w:customStyle="1" w:styleId="57">
    <w:name w:val="正文文本缩进 字符"/>
    <w:link w:val="17"/>
    <w:autoRedefine/>
    <w:qFormat/>
    <w:uiPriority w:val="0"/>
    <w:rPr>
      <w:rFonts w:ascii="Times New Roman" w:hAnsi="Times New Roman" w:eastAsia="宋体" w:cs="Times New Roman"/>
      <w:sz w:val="28"/>
      <w:szCs w:val="24"/>
    </w:rPr>
  </w:style>
  <w:style w:type="character" w:customStyle="1" w:styleId="58">
    <w:name w:val="纯文本 字符"/>
    <w:link w:val="20"/>
    <w:autoRedefine/>
    <w:qFormat/>
    <w:uiPriority w:val="0"/>
    <w:rPr>
      <w:rFonts w:ascii="宋体" w:hAnsi="Courier New" w:eastAsia="宋体" w:cs="Times New Roman"/>
      <w:szCs w:val="20"/>
    </w:rPr>
  </w:style>
  <w:style w:type="character" w:customStyle="1" w:styleId="59">
    <w:name w:val="日期 字符"/>
    <w:link w:val="22"/>
    <w:autoRedefine/>
    <w:qFormat/>
    <w:uiPriority w:val="0"/>
    <w:rPr>
      <w:rFonts w:ascii="Times New Roman" w:hAnsi="Times New Roman" w:eastAsia="宋体" w:cs="Times New Roman"/>
      <w:sz w:val="24"/>
      <w:szCs w:val="20"/>
    </w:rPr>
  </w:style>
  <w:style w:type="character" w:customStyle="1" w:styleId="60">
    <w:name w:val="正文文本缩进 2 字符"/>
    <w:link w:val="23"/>
    <w:autoRedefine/>
    <w:qFormat/>
    <w:uiPriority w:val="0"/>
    <w:rPr>
      <w:rFonts w:ascii="Times New Roman" w:hAnsi="Times New Roman" w:eastAsia="宋体" w:cs="Times New Roman"/>
      <w:szCs w:val="24"/>
    </w:rPr>
  </w:style>
  <w:style w:type="character" w:customStyle="1" w:styleId="61">
    <w:name w:val="批注框文本 字符"/>
    <w:link w:val="24"/>
    <w:qFormat/>
    <w:uiPriority w:val="0"/>
    <w:rPr>
      <w:rFonts w:ascii="Times New Roman" w:hAnsi="Times New Roman" w:eastAsia="宋体" w:cs="Times New Roman"/>
      <w:sz w:val="18"/>
      <w:szCs w:val="18"/>
    </w:rPr>
  </w:style>
  <w:style w:type="character" w:customStyle="1" w:styleId="62">
    <w:name w:val="页脚 字符"/>
    <w:link w:val="25"/>
    <w:autoRedefine/>
    <w:qFormat/>
    <w:uiPriority w:val="99"/>
    <w:rPr>
      <w:rFonts w:ascii="Times New Roman" w:hAnsi="Times New Roman" w:eastAsia="宋体" w:cs="Times New Roman"/>
      <w:sz w:val="18"/>
      <w:szCs w:val="20"/>
    </w:rPr>
  </w:style>
  <w:style w:type="character" w:customStyle="1" w:styleId="63">
    <w:name w:val="页眉 字符"/>
    <w:link w:val="26"/>
    <w:autoRedefine/>
    <w:qFormat/>
    <w:uiPriority w:val="99"/>
    <w:rPr>
      <w:rFonts w:ascii="Times New Roman" w:hAnsi="Times New Roman" w:eastAsia="宋体" w:cs="Times New Roman"/>
      <w:sz w:val="18"/>
      <w:szCs w:val="20"/>
    </w:rPr>
  </w:style>
  <w:style w:type="character" w:customStyle="1" w:styleId="64">
    <w:name w:val="副标题 字符"/>
    <w:link w:val="29"/>
    <w:autoRedefine/>
    <w:qFormat/>
    <w:uiPriority w:val="11"/>
    <w:rPr>
      <w:rFonts w:ascii="Cambria" w:hAnsi="Cambria" w:eastAsia="宋体" w:cs="Times New Roman"/>
      <w:i/>
      <w:iCs/>
      <w:color w:val="4F81BD"/>
      <w:spacing w:val="15"/>
      <w:kern w:val="0"/>
      <w:sz w:val="24"/>
      <w:szCs w:val="24"/>
      <w:lang w:eastAsia="en-US" w:bidi="en-US"/>
    </w:rPr>
  </w:style>
  <w:style w:type="character" w:customStyle="1" w:styleId="65">
    <w:name w:val="正文文本缩进 3 字符"/>
    <w:link w:val="31"/>
    <w:autoRedefine/>
    <w:qFormat/>
    <w:uiPriority w:val="0"/>
    <w:rPr>
      <w:rFonts w:ascii="Times New Roman" w:hAnsi="Times New Roman" w:eastAsia="宋体" w:cs="Times New Roman"/>
      <w:sz w:val="16"/>
      <w:szCs w:val="16"/>
    </w:rPr>
  </w:style>
  <w:style w:type="character" w:customStyle="1" w:styleId="66">
    <w:name w:val="正文文本 2 字符"/>
    <w:link w:val="34"/>
    <w:qFormat/>
    <w:uiPriority w:val="0"/>
    <w:rPr>
      <w:rFonts w:ascii="宋体" w:hAnsi="宋体" w:eastAsia="宋体" w:cs="Times New Roman"/>
      <w:sz w:val="28"/>
      <w:szCs w:val="24"/>
    </w:rPr>
  </w:style>
  <w:style w:type="character" w:customStyle="1" w:styleId="67">
    <w:name w:val="标题 字符"/>
    <w:link w:val="36"/>
    <w:autoRedefine/>
    <w:qFormat/>
    <w:uiPriority w:val="0"/>
    <w:rPr>
      <w:rFonts w:ascii="Arial" w:hAnsi="Arial" w:eastAsia="宋体" w:cs="Arial"/>
      <w:bCs/>
      <w:sz w:val="24"/>
      <w:szCs w:val="44"/>
    </w:rPr>
  </w:style>
  <w:style w:type="character" w:customStyle="1" w:styleId="68">
    <w:name w:val="批注主题 字符"/>
    <w:link w:val="37"/>
    <w:autoRedefine/>
    <w:qFormat/>
    <w:uiPriority w:val="0"/>
    <w:rPr>
      <w:rFonts w:ascii="Times New Roman" w:hAnsi="Times New Roman" w:eastAsia="宋体" w:cs="Times New Roman"/>
      <w:b/>
      <w:bCs/>
      <w:szCs w:val="24"/>
    </w:rPr>
  </w:style>
  <w:style w:type="character" w:customStyle="1" w:styleId="69">
    <w:name w:val="正文文本 字符1"/>
    <w:autoRedefine/>
    <w:semiHidden/>
    <w:qFormat/>
    <w:uiPriority w:val="99"/>
    <w:rPr>
      <w:kern w:val="2"/>
      <w:sz w:val="21"/>
    </w:rPr>
  </w:style>
  <w:style w:type="character" w:customStyle="1" w:styleId="70">
    <w:name w:val="Para head"/>
    <w:qFormat/>
    <w:uiPriority w:val="0"/>
  </w:style>
  <w:style w:type="character" w:customStyle="1" w:styleId="71">
    <w:name w:val="文档结构图 字符1"/>
    <w:semiHidden/>
    <w:qFormat/>
    <w:uiPriority w:val="99"/>
    <w:rPr>
      <w:rFonts w:hint="eastAsia" w:ascii="Microsoft YaHei UI" w:hAnsi="Microsoft YaHei UI" w:eastAsia="Microsoft YaHei UI"/>
      <w:kern w:val="2"/>
      <w:sz w:val="18"/>
      <w:szCs w:val="18"/>
    </w:rPr>
  </w:style>
  <w:style w:type="character" w:customStyle="1" w:styleId="72">
    <w:name w:val="C 条款（一） Char Char"/>
    <w:link w:val="73"/>
    <w:autoRedefine/>
    <w:qFormat/>
    <w:locked/>
    <w:uiPriority w:val="0"/>
    <w:rPr>
      <w:rFonts w:ascii="黑体" w:hAnsi="宋体" w:eastAsia="黑体"/>
      <w:b/>
      <w:sz w:val="32"/>
      <w:szCs w:val="32"/>
    </w:rPr>
  </w:style>
  <w:style w:type="paragraph" w:customStyle="1" w:styleId="73">
    <w:name w:val="C 条款（一）"/>
    <w:basedOn w:val="4"/>
    <w:next w:val="1"/>
    <w:link w:val="72"/>
    <w:qFormat/>
    <w:uiPriority w:val="0"/>
    <w:pPr>
      <w:tabs>
        <w:tab w:val="clear" w:pos="720"/>
      </w:tabs>
      <w:snapToGrid/>
      <w:spacing w:beforeLines="0" w:beforeAutospacing="1" w:after="100" w:afterAutospacing="1" w:line="240" w:lineRule="auto"/>
      <w:ind w:left="0" w:firstLine="0" w:firstLineChars="0"/>
    </w:pPr>
    <w:rPr>
      <w:b/>
      <w:sz w:val="32"/>
    </w:rPr>
  </w:style>
  <w:style w:type="character" w:customStyle="1" w:styleId="74">
    <w:name w:val="明显强调1"/>
    <w:autoRedefine/>
    <w:qFormat/>
    <w:uiPriority w:val="21"/>
    <w:rPr>
      <w:b/>
      <w:bCs/>
      <w:i/>
      <w:iCs/>
      <w:color w:val="4F81BD"/>
    </w:rPr>
  </w:style>
  <w:style w:type="character" w:customStyle="1" w:styleId="75">
    <w:name w:val="F 条款 1.1.1 Char Char"/>
    <w:link w:val="76"/>
    <w:autoRedefine/>
    <w:qFormat/>
    <w:locked/>
    <w:uiPriority w:val="0"/>
    <w:rPr>
      <w:sz w:val="24"/>
      <w:szCs w:val="24"/>
    </w:rPr>
  </w:style>
  <w:style w:type="paragraph" w:customStyle="1" w:styleId="76">
    <w:name w:val="F 条款 1.1.1"/>
    <w:basedOn w:val="1"/>
    <w:next w:val="1"/>
    <w:link w:val="75"/>
    <w:qFormat/>
    <w:uiPriority w:val="0"/>
    <w:pPr>
      <w:spacing w:beforeLines="50"/>
      <w:ind w:left="284"/>
      <w:outlineLvl w:val="5"/>
    </w:pPr>
    <w:rPr>
      <w:kern w:val="0"/>
      <w:sz w:val="24"/>
      <w:szCs w:val="24"/>
    </w:rPr>
  </w:style>
  <w:style w:type="character" w:customStyle="1" w:styleId="77">
    <w:name w:val="Default Char Char"/>
    <w:link w:val="78"/>
    <w:autoRedefine/>
    <w:qFormat/>
    <w:locked/>
    <w:uiPriority w:val="0"/>
    <w:rPr>
      <w:rFonts w:ascii="宋体" w:hAnsi="宋体"/>
      <w:color w:val="000000"/>
      <w:sz w:val="24"/>
      <w:szCs w:val="24"/>
      <w:lang w:val="en-US" w:eastAsia="zh-CN" w:bidi="ar-SA"/>
    </w:rPr>
  </w:style>
  <w:style w:type="paragraph" w:customStyle="1" w:styleId="78">
    <w:name w:val="Default"/>
    <w:link w:val="77"/>
    <w:autoRedefine/>
    <w:qFormat/>
    <w:uiPriority w:val="0"/>
    <w:pPr>
      <w:widowControl w:val="0"/>
      <w:autoSpaceDE w:val="0"/>
      <w:autoSpaceDN w:val="0"/>
      <w:adjustRightInd w:val="0"/>
    </w:pPr>
    <w:rPr>
      <w:rFonts w:ascii="宋体" w:hAnsi="宋体" w:eastAsia="宋体" w:cs="Times New Roman"/>
      <w:color w:val="000000"/>
      <w:sz w:val="24"/>
      <w:szCs w:val="24"/>
      <w:lang w:val="en-US" w:eastAsia="zh-CN" w:bidi="ar-SA"/>
    </w:rPr>
  </w:style>
  <w:style w:type="character" w:customStyle="1" w:styleId="79">
    <w:name w:val="标题 字符1"/>
    <w:qFormat/>
    <w:uiPriority w:val="10"/>
    <w:rPr>
      <w:rFonts w:hint="default" w:ascii="等线 Light" w:hAnsi="等线 Light" w:eastAsia="等线 Light" w:cs="黑体"/>
      <w:b/>
      <w:bCs/>
      <w:kern w:val="2"/>
      <w:sz w:val="32"/>
      <w:szCs w:val="32"/>
    </w:rPr>
  </w:style>
  <w:style w:type="character" w:customStyle="1" w:styleId="80">
    <w:name w:val="已访问的超链接 Char"/>
    <w:autoRedefine/>
    <w:qFormat/>
    <w:uiPriority w:val="99"/>
    <w:rPr>
      <w:color w:val="800080"/>
      <w:u w:val="single"/>
    </w:rPr>
  </w:style>
  <w:style w:type="character" w:customStyle="1" w:styleId="81">
    <w:name w:val="页眉 字符1"/>
    <w:semiHidden/>
    <w:qFormat/>
    <w:uiPriority w:val="99"/>
    <w:rPr>
      <w:kern w:val="2"/>
      <w:sz w:val="18"/>
      <w:szCs w:val="18"/>
    </w:rPr>
  </w:style>
  <w:style w:type="character" w:customStyle="1" w:styleId="82">
    <w:name w:val="正文文本缩进 3 字符1"/>
    <w:semiHidden/>
    <w:qFormat/>
    <w:uiPriority w:val="99"/>
    <w:rPr>
      <w:kern w:val="2"/>
      <w:sz w:val="16"/>
      <w:szCs w:val="16"/>
    </w:rPr>
  </w:style>
  <w:style w:type="character" w:customStyle="1" w:styleId="83">
    <w:name w:val="不明显强调1"/>
    <w:autoRedefine/>
    <w:qFormat/>
    <w:uiPriority w:val="19"/>
    <w:rPr>
      <w:i/>
      <w:iCs/>
      <w:color w:val="808080"/>
    </w:rPr>
  </w:style>
  <w:style w:type="character" w:customStyle="1" w:styleId="84">
    <w:name w:val="引用 Char"/>
    <w:link w:val="85"/>
    <w:autoRedefine/>
    <w:qFormat/>
    <w:locked/>
    <w:uiPriority w:val="29"/>
    <w:rPr>
      <w:rFonts w:ascii="Calibri" w:hAnsi="Calibri" w:cs="Calibri"/>
      <w:i/>
      <w:iCs/>
      <w:color w:val="000000"/>
      <w:sz w:val="22"/>
      <w:lang w:eastAsia="en-US" w:bidi="en-US"/>
    </w:rPr>
  </w:style>
  <w:style w:type="paragraph" w:customStyle="1" w:styleId="85">
    <w:name w:val="引用1"/>
    <w:basedOn w:val="1"/>
    <w:next w:val="1"/>
    <w:link w:val="84"/>
    <w:autoRedefine/>
    <w:qFormat/>
    <w:uiPriority w:val="29"/>
    <w:pPr>
      <w:widowControl/>
      <w:spacing w:after="200" w:line="276" w:lineRule="auto"/>
      <w:jc w:val="left"/>
    </w:pPr>
    <w:rPr>
      <w:rFonts w:ascii="Calibri" w:hAnsi="Calibri" w:cs="Calibri"/>
      <w:i/>
      <w:iCs/>
      <w:color w:val="000000"/>
      <w:kern w:val="0"/>
      <w:sz w:val="22"/>
      <w:lang w:eastAsia="en-US" w:bidi="en-US"/>
    </w:rPr>
  </w:style>
  <w:style w:type="character" w:customStyle="1" w:styleId="86">
    <w:name w:val="font11"/>
    <w:basedOn w:val="40"/>
    <w:qFormat/>
    <w:uiPriority w:val="0"/>
    <w:rPr>
      <w:rFonts w:hint="default" w:ascii="Times New Roman" w:hAnsi="Times New Roman" w:cs="Times New Roman"/>
      <w:color w:val="000000"/>
      <w:sz w:val="18"/>
      <w:szCs w:val="18"/>
      <w:u w:val="none"/>
    </w:rPr>
  </w:style>
  <w:style w:type="character" w:customStyle="1" w:styleId="87">
    <w:name w:val="bigfont"/>
    <w:autoRedefine/>
    <w:qFormat/>
    <w:uiPriority w:val="0"/>
  </w:style>
  <w:style w:type="character" w:customStyle="1" w:styleId="88">
    <w:name w:val="Body Text Indent Char1"/>
    <w:autoRedefine/>
    <w:semiHidden/>
    <w:qFormat/>
    <w:uiPriority w:val="99"/>
    <w:rPr>
      <w:kern w:val="2"/>
      <w:sz w:val="21"/>
    </w:rPr>
  </w:style>
  <w:style w:type="character" w:customStyle="1" w:styleId="89">
    <w:name w:val="日期 字符1"/>
    <w:autoRedefine/>
    <w:semiHidden/>
    <w:qFormat/>
    <w:uiPriority w:val="99"/>
    <w:rPr>
      <w:kern w:val="2"/>
      <w:sz w:val="21"/>
    </w:rPr>
  </w:style>
  <w:style w:type="character" w:customStyle="1" w:styleId="90">
    <w:name w:val="纯文本 字符1"/>
    <w:semiHidden/>
    <w:qFormat/>
    <w:uiPriority w:val="99"/>
    <w:rPr>
      <w:rFonts w:hint="eastAsia" w:ascii="等线" w:hAnsi="Courier New" w:eastAsia="等线" w:cs="Courier New"/>
      <w:kern w:val="2"/>
      <w:sz w:val="21"/>
    </w:rPr>
  </w:style>
  <w:style w:type="character" w:customStyle="1" w:styleId="91">
    <w:name w:val="正文文本 2 字符1"/>
    <w:semiHidden/>
    <w:qFormat/>
    <w:uiPriority w:val="99"/>
    <w:rPr>
      <w:kern w:val="2"/>
      <w:sz w:val="21"/>
    </w:rPr>
  </w:style>
  <w:style w:type="character" w:customStyle="1" w:styleId="92">
    <w:name w:val="批注框文本 字符1"/>
    <w:semiHidden/>
    <w:qFormat/>
    <w:uiPriority w:val="99"/>
    <w:rPr>
      <w:kern w:val="2"/>
      <w:sz w:val="18"/>
      <w:szCs w:val="18"/>
    </w:rPr>
  </w:style>
  <w:style w:type="character" w:customStyle="1" w:styleId="93">
    <w:name w:val="dy_biao_content1"/>
    <w:autoRedefine/>
    <w:qFormat/>
    <w:uiPriority w:val="0"/>
    <w:rPr>
      <w:rFonts w:hint="eastAsia" w:ascii="宋体" w:hAnsi="宋体" w:eastAsia="宋体"/>
      <w:sz w:val="24"/>
      <w:szCs w:val="24"/>
    </w:rPr>
  </w:style>
  <w:style w:type="character" w:customStyle="1" w:styleId="94">
    <w:name w:val="页脚 字符1"/>
    <w:autoRedefine/>
    <w:semiHidden/>
    <w:qFormat/>
    <w:uiPriority w:val="99"/>
    <w:rPr>
      <w:kern w:val="2"/>
      <w:sz w:val="18"/>
      <w:szCs w:val="18"/>
    </w:rPr>
  </w:style>
  <w:style w:type="character" w:customStyle="1" w:styleId="95">
    <w:name w:val="正文文本缩进 2 字符1"/>
    <w:semiHidden/>
    <w:qFormat/>
    <w:uiPriority w:val="99"/>
    <w:rPr>
      <w:kern w:val="2"/>
      <w:sz w:val="21"/>
    </w:rPr>
  </w:style>
  <w:style w:type="character" w:customStyle="1" w:styleId="96">
    <w:name w:val="font31"/>
    <w:basedOn w:val="40"/>
    <w:qFormat/>
    <w:uiPriority w:val="0"/>
    <w:rPr>
      <w:rFonts w:hint="default" w:ascii="Arial" w:hAnsi="Arial" w:cs="Arial"/>
      <w:color w:val="000000"/>
      <w:sz w:val="18"/>
      <w:szCs w:val="18"/>
      <w:u w:val="none"/>
    </w:rPr>
  </w:style>
  <w:style w:type="character" w:customStyle="1" w:styleId="97">
    <w:name w:val="批注文字 字符"/>
    <w:autoRedefine/>
    <w:semiHidden/>
    <w:qFormat/>
    <w:uiPriority w:val="99"/>
    <w:rPr>
      <w:rFonts w:ascii="Times New Roman" w:hAnsi="Times New Roman" w:eastAsia="宋体" w:cs="Times New Roman"/>
      <w:szCs w:val="20"/>
    </w:rPr>
  </w:style>
  <w:style w:type="character" w:customStyle="1" w:styleId="98">
    <w:name w:val="Variable"/>
    <w:autoRedefine/>
    <w:qFormat/>
    <w:uiPriority w:val="0"/>
    <w:rPr>
      <w:i/>
    </w:rPr>
  </w:style>
  <w:style w:type="character" w:customStyle="1" w:styleId="99">
    <w:name w:val="书籍标题1"/>
    <w:autoRedefine/>
    <w:qFormat/>
    <w:uiPriority w:val="33"/>
    <w:rPr>
      <w:b/>
      <w:bCs/>
      <w:smallCaps/>
      <w:spacing w:val="5"/>
    </w:rPr>
  </w:style>
  <w:style w:type="character" w:customStyle="1" w:styleId="100">
    <w:name w:val="正文文本缩进 字符1"/>
    <w:autoRedefine/>
    <w:semiHidden/>
    <w:qFormat/>
    <w:uiPriority w:val="99"/>
    <w:rPr>
      <w:kern w:val="2"/>
      <w:sz w:val="21"/>
    </w:rPr>
  </w:style>
  <w:style w:type="character" w:customStyle="1" w:styleId="101">
    <w:name w:val="明显引用 Char"/>
    <w:link w:val="102"/>
    <w:qFormat/>
    <w:locked/>
    <w:uiPriority w:val="30"/>
    <w:rPr>
      <w:rFonts w:ascii="Calibri" w:hAnsi="Calibri" w:cs="Calibri"/>
      <w:b/>
      <w:bCs/>
      <w:i/>
      <w:iCs/>
      <w:color w:val="4F81BD"/>
      <w:sz w:val="22"/>
      <w:lang w:eastAsia="en-US" w:bidi="en-US"/>
    </w:rPr>
  </w:style>
  <w:style w:type="paragraph" w:customStyle="1" w:styleId="102">
    <w:name w:val="明显引用1"/>
    <w:basedOn w:val="1"/>
    <w:next w:val="1"/>
    <w:link w:val="101"/>
    <w:qFormat/>
    <w:uiPriority w:val="30"/>
    <w:pPr>
      <w:widowControl/>
      <w:pBdr>
        <w:bottom w:val="single" w:color="4F81BD" w:sz="4" w:space="4"/>
      </w:pBdr>
      <w:spacing w:before="200" w:after="280" w:line="276" w:lineRule="auto"/>
      <w:ind w:left="936" w:right="936"/>
      <w:jc w:val="left"/>
    </w:pPr>
    <w:rPr>
      <w:rFonts w:ascii="Calibri" w:hAnsi="Calibri" w:cs="Calibri"/>
      <w:b/>
      <w:bCs/>
      <w:i/>
      <w:iCs/>
      <w:color w:val="4F81BD"/>
      <w:kern w:val="0"/>
      <w:sz w:val="22"/>
      <w:lang w:eastAsia="en-US" w:bidi="en-US"/>
    </w:rPr>
  </w:style>
  <w:style w:type="character" w:customStyle="1" w:styleId="103">
    <w:name w:val="不明显参考1"/>
    <w:qFormat/>
    <w:uiPriority w:val="31"/>
    <w:rPr>
      <w:smallCaps/>
      <w:color w:val="C0504D"/>
      <w:u w:val="single"/>
    </w:rPr>
  </w:style>
  <w:style w:type="character" w:customStyle="1" w:styleId="104">
    <w:name w:val="副标题 字符1"/>
    <w:autoRedefine/>
    <w:qFormat/>
    <w:uiPriority w:val="11"/>
    <w:rPr>
      <w:rFonts w:hint="default" w:ascii="等线" w:hAnsi="等线" w:eastAsia="等线" w:cs="黑体"/>
      <w:b/>
      <w:bCs/>
      <w:kern w:val="28"/>
      <w:sz w:val="32"/>
      <w:szCs w:val="32"/>
    </w:rPr>
  </w:style>
  <w:style w:type="character" w:customStyle="1" w:styleId="105">
    <w:name w:val="纯文本 Char1"/>
    <w:semiHidden/>
    <w:qFormat/>
    <w:uiPriority w:val="0"/>
    <w:rPr>
      <w:rFonts w:hint="eastAsia" w:ascii="宋体" w:hAnsi="Courier New" w:eastAsia="宋体" w:cs="Courier New"/>
      <w:kern w:val="2"/>
      <w:sz w:val="21"/>
      <w:szCs w:val="21"/>
    </w:rPr>
  </w:style>
  <w:style w:type="character" w:customStyle="1" w:styleId="106">
    <w:name w:val="明显参考1"/>
    <w:qFormat/>
    <w:uiPriority w:val="32"/>
    <w:rPr>
      <w:b/>
      <w:bCs/>
      <w:smallCaps/>
      <w:color w:val="C0504D"/>
      <w:spacing w:val="5"/>
      <w:u w:val="single"/>
    </w:rPr>
  </w:style>
  <w:style w:type="character" w:customStyle="1" w:styleId="107">
    <w:name w:val="批注主题 字符1"/>
    <w:autoRedefine/>
    <w:semiHidden/>
    <w:qFormat/>
    <w:uiPriority w:val="99"/>
    <w:rPr>
      <w:rFonts w:ascii="Times New Roman" w:hAnsi="Times New Roman" w:eastAsia="宋体" w:cs="Times New Roman"/>
      <w:b/>
      <w:bCs/>
      <w:szCs w:val="20"/>
    </w:rPr>
  </w:style>
  <w:style w:type="character" w:customStyle="1" w:styleId="108">
    <w:name w:val="B 条款一 Char Char"/>
    <w:link w:val="109"/>
    <w:autoRedefine/>
    <w:qFormat/>
    <w:locked/>
    <w:uiPriority w:val="0"/>
    <w:rPr>
      <w:rFonts w:ascii="宋体" w:hAnsi="宋体" w:eastAsia="宋体"/>
      <w:bCs/>
      <w:sz w:val="36"/>
      <w:szCs w:val="36"/>
    </w:rPr>
  </w:style>
  <w:style w:type="paragraph" w:customStyle="1" w:styleId="109">
    <w:name w:val="B 条款一"/>
    <w:basedOn w:val="3"/>
    <w:next w:val="1"/>
    <w:link w:val="108"/>
    <w:autoRedefine/>
    <w:qFormat/>
    <w:uiPriority w:val="0"/>
    <w:pPr>
      <w:adjustRightInd w:val="0"/>
      <w:spacing w:beforeLines="0" w:beforeAutospacing="1" w:after="100" w:afterAutospacing="1"/>
    </w:pPr>
    <w:rPr>
      <w:b w:val="0"/>
      <w:sz w:val="36"/>
      <w:szCs w:val="36"/>
    </w:rPr>
  </w:style>
  <w:style w:type="character" w:customStyle="1" w:styleId="110">
    <w:name w:val="font21"/>
    <w:qFormat/>
    <w:uiPriority w:val="0"/>
    <w:rPr>
      <w:rFonts w:hint="eastAsia" w:ascii="宋体" w:hAnsi="宋体" w:eastAsia="宋体" w:cs="宋体"/>
      <w:color w:val="000000"/>
      <w:sz w:val="18"/>
      <w:szCs w:val="18"/>
      <w:u w:val="none"/>
    </w:rPr>
  </w:style>
  <w:style w:type="paragraph" w:customStyle="1" w:styleId="111">
    <w:name w:val="无间隔1"/>
    <w:autoRedefine/>
    <w:qFormat/>
    <w:uiPriority w:val="1"/>
    <w:rPr>
      <w:rFonts w:ascii="Calibri" w:hAnsi="Calibri" w:eastAsia="宋体" w:cs="Times New Roman"/>
      <w:sz w:val="22"/>
      <w:lang w:val="en-US" w:eastAsia="en-US" w:bidi="en-US"/>
    </w:rPr>
  </w:style>
  <w:style w:type="paragraph" w:customStyle="1" w:styleId="112">
    <w:name w:val="_Style 2"/>
    <w:basedOn w:val="1"/>
    <w:qFormat/>
    <w:uiPriority w:val="34"/>
    <w:pPr>
      <w:ind w:left="480" w:leftChars="200"/>
    </w:pPr>
  </w:style>
  <w:style w:type="paragraph" w:customStyle="1" w:styleId="113">
    <w:name w:val="p0"/>
    <w:basedOn w:val="1"/>
    <w:qFormat/>
    <w:uiPriority w:val="0"/>
    <w:pPr>
      <w:widowControl/>
      <w:jc w:val="left"/>
    </w:pPr>
    <w:rPr>
      <w:kern w:val="0"/>
      <w:szCs w:val="21"/>
    </w:rPr>
  </w:style>
  <w:style w:type="paragraph" w:customStyle="1" w:styleId="114">
    <w:name w:val="正文 + 宋体"/>
    <w:basedOn w:val="1"/>
    <w:qFormat/>
    <w:uiPriority w:val="0"/>
    <w:pPr>
      <w:spacing w:line="400" w:lineRule="exact"/>
    </w:pPr>
    <w:rPr>
      <w:rFonts w:ascii="宋体" w:hAnsi="宋体"/>
      <w:sz w:val="24"/>
      <w:szCs w:val="24"/>
    </w:rPr>
  </w:style>
  <w:style w:type="paragraph" w:customStyle="1" w:styleId="115">
    <w:name w:val="样式5"/>
    <w:basedOn w:val="3"/>
    <w:qFormat/>
    <w:uiPriority w:val="0"/>
    <w:pPr>
      <w:tabs>
        <w:tab w:val="clear" w:pos="720"/>
      </w:tabs>
      <w:spacing w:beforeLines="0"/>
    </w:pPr>
    <w:rPr>
      <w:rFonts w:ascii="Arial" w:hAnsi="Arial"/>
      <w:bCs w:val="0"/>
      <w:color w:val="000000"/>
      <w:szCs w:val="28"/>
    </w:rPr>
  </w:style>
  <w:style w:type="paragraph" w:customStyle="1" w:styleId="116">
    <w:name w:val="TOC 标题1"/>
    <w:basedOn w:val="2"/>
    <w:next w:val="1"/>
    <w:qFormat/>
    <w:uiPriority w:val="39"/>
    <w:pPr>
      <w:keepNext/>
      <w:spacing w:beforeLines="0" w:line="276" w:lineRule="auto"/>
      <w:jc w:val="left"/>
      <w:outlineLvl w:val="9"/>
    </w:pPr>
    <w:rPr>
      <w:rFonts w:ascii="Cambria" w:hAnsi="Cambria" w:eastAsia="宋体"/>
      <w:b/>
      <w:bCs/>
      <w:color w:val="365F91"/>
      <w:kern w:val="0"/>
      <w:sz w:val="28"/>
      <w:szCs w:val="28"/>
      <w:lang w:eastAsia="en-US" w:bidi="en-US"/>
    </w:rPr>
  </w:style>
  <w:style w:type="paragraph" w:customStyle="1" w:styleId="117">
    <w:name w:val="msonormal"/>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18">
    <w:name w:val="节"/>
    <w:basedOn w:val="3"/>
    <w:autoRedefine/>
    <w:semiHidden/>
    <w:qFormat/>
    <w:uiPriority w:val="0"/>
    <w:pPr>
      <w:tabs>
        <w:tab w:val="left" w:pos="432"/>
        <w:tab w:val="clear" w:pos="720"/>
      </w:tabs>
      <w:spacing w:line="240" w:lineRule="auto"/>
      <w:ind w:left="576" w:hanging="576"/>
      <w:jc w:val="both"/>
    </w:pPr>
    <w:rPr>
      <w:rFonts w:ascii="黑体" w:hAnsi="Arial" w:eastAsia="黑体"/>
      <w:b w:val="0"/>
      <w:kern w:val="2"/>
      <w:szCs w:val="28"/>
    </w:rPr>
  </w:style>
  <w:style w:type="paragraph" w:customStyle="1" w:styleId="119">
    <w:name w:val="强调文字"/>
    <w:basedOn w:val="1"/>
    <w:autoRedefine/>
    <w:qFormat/>
    <w:uiPriority w:val="0"/>
    <w:pPr>
      <w:spacing w:line="640" w:lineRule="exact"/>
      <w:ind w:firstLine="560" w:firstLineChars="200"/>
      <w:jc w:val="left"/>
    </w:pPr>
    <w:rPr>
      <w:rFonts w:ascii="宋体" w:hAnsi="宋体" w:eastAsia="黑体" w:cs="Arial"/>
      <w:bCs/>
      <w:kern w:val="24"/>
      <w:sz w:val="24"/>
      <w:szCs w:val="24"/>
    </w:rPr>
  </w:style>
  <w:style w:type="paragraph" w:customStyle="1" w:styleId="120">
    <w:name w:val="CHAPITRE"/>
    <w:basedOn w:val="1"/>
    <w:qFormat/>
    <w:uiPriority w:val="0"/>
    <w:pPr>
      <w:widowControl/>
      <w:pBdr>
        <w:top w:val="single" w:color="auto" w:sz="6" w:space="4"/>
        <w:left w:val="single" w:color="auto" w:sz="6" w:space="4"/>
        <w:bottom w:val="single" w:color="auto" w:sz="6" w:space="4"/>
        <w:right w:val="single" w:color="auto" w:sz="6" w:space="4"/>
      </w:pBdr>
      <w:shd w:val="pct5" w:color="auto" w:fill="auto"/>
      <w:ind w:left="1701" w:right="1701"/>
      <w:jc w:val="center"/>
    </w:pPr>
    <w:rPr>
      <w:rFonts w:ascii="Britannic Bold" w:hAnsi="Britannic Bold"/>
      <w:smallCaps/>
      <w:kern w:val="0"/>
      <w:sz w:val="36"/>
    </w:rPr>
  </w:style>
  <w:style w:type="paragraph" w:customStyle="1" w:styleId="121">
    <w:name w:val="列出段落1"/>
    <w:basedOn w:val="1"/>
    <w:autoRedefine/>
    <w:qFormat/>
    <w:uiPriority w:val="34"/>
    <w:pPr>
      <w:widowControl/>
      <w:spacing w:after="200" w:line="276" w:lineRule="auto"/>
      <w:ind w:left="720"/>
      <w:contextualSpacing/>
      <w:jc w:val="left"/>
    </w:pPr>
    <w:rPr>
      <w:rFonts w:ascii="Calibri" w:hAnsi="Calibri"/>
      <w:kern w:val="0"/>
      <w:sz w:val="22"/>
      <w:szCs w:val="22"/>
      <w:lang w:eastAsia="en-US" w:bidi="en-US"/>
    </w:rPr>
  </w:style>
  <w:style w:type="paragraph" w:customStyle="1" w:styleId="122">
    <w:name w:val="Blockquote"/>
    <w:basedOn w:val="1"/>
    <w:autoRedefine/>
    <w:qFormat/>
    <w:uiPriority w:val="0"/>
    <w:pPr>
      <w:autoSpaceDE w:val="0"/>
      <w:autoSpaceDN w:val="0"/>
      <w:adjustRightInd w:val="0"/>
      <w:spacing w:before="100" w:after="100"/>
      <w:ind w:left="360" w:right="360"/>
      <w:jc w:val="left"/>
    </w:pPr>
    <w:rPr>
      <w:kern w:val="0"/>
      <w:sz w:val="24"/>
    </w:rPr>
  </w:style>
  <w:style w:type="paragraph" w:customStyle="1" w:styleId="123">
    <w:name w:val="D 条款 1"/>
    <w:basedOn w:val="1"/>
    <w:next w:val="1"/>
    <w:autoRedefine/>
    <w:qFormat/>
    <w:uiPriority w:val="0"/>
    <w:pPr>
      <w:adjustRightInd w:val="0"/>
      <w:snapToGrid w:val="0"/>
      <w:spacing w:beforeLines="50"/>
      <w:ind w:left="851"/>
      <w:jc w:val="left"/>
      <w:outlineLvl w:val="3"/>
    </w:pPr>
    <w:rPr>
      <w:b/>
      <w:kern w:val="0"/>
      <w:sz w:val="24"/>
      <w:szCs w:val="18"/>
    </w:rPr>
  </w:style>
  <w:style w:type="paragraph" w:customStyle="1" w:styleId="124">
    <w:name w:val="表格項目"/>
    <w:basedOn w:val="1"/>
    <w:qFormat/>
    <w:uiPriority w:val="0"/>
    <w:pPr>
      <w:widowControl/>
      <w:adjustRightInd w:val="0"/>
      <w:snapToGrid w:val="0"/>
      <w:spacing w:after="200" w:line="440" w:lineRule="exact"/>
      <w:jc w:val="left"/>
      <w:textAlignment w:val="baseline"/>
    </w:pPr>
    <w:rPr>
      <w:rFonts w:ascii="宋体" w:hAnsi="宋体"/>
      <w:kern w:val="0"/>
      <w:sz w:val="22"/>
      <w:szCs w:val="21"/>
      <w:lang w:eastAsia="en-US" w:bidi="en-US"/>
    </w:rPr>
  </w:style>
  <w:style w:type="paragraph" w:customStyle="1" w:styleId="125">
    <w:name w:val="目录"/>
    <w:basedOn w:val="32"/>
    <w:qFormat/>
    <w:uiPriority w:val="0"/>
    <w:pPr>
      <w:spacing w:line="360" w:lineRule="exact"/>
      <w:ind w:left="0" w:firstLine="480" w:firstLineChars="200"/>
      <w:jc w:val="center"/>
    </w:pPr>
    <w:rPr>
      <w:rFonts w:ascii="宋体" w:hAnsi="宋体"/>
      <w:color w:val="000000"/>
    </w:rPr>
  </w:style>
  <w:style w:type="paragraph" w:customStyle="1" w:styleId="126">
    <w:name w:val="Address"/>
    <w:basedOn w:val="1"/>
    <w:next w:val="1"/>
    <w:qFormat/>
    <w:uiPriority w:val="0"/>
    <w:pPr>
      <w:autoSpaceDE w:val="0"/>
      <w:autoSpaceDN w:val="0"/>
      <w:adjustRightInd w:val="0"/>
      <w:jc w:val="left"/>
    </w:pPr>
    <w:rPr>
      <w:i/>
      <w:kern w:val="0"/>
      <w:sz w:val="24"/>
    </w:rPr>
  </w:style>
  <w:style w:type="paragraph" w:customStyle="1" w:styleId="127">
    <w:name w:val="修订1"/>
    <w:autoRedefine/>
    <w:semiHidden/>
    <w:qFormat/>
    <w:uiPriority w:val="99"/>
    <w:rPr>
      <w:rFonts w:ascii="Times New Roman" w:hAnsi="Times New Roman" w:eastAsia="宋体" w:cs="Times New Roman"/>
      <w:lang w:val="en-US" w:eastAsia="zh-CN" w:bidi="ar-SA"/>
    </w:rPr>
  </w:style>
  <w:style w:type="paragraph" w:customStyle="1" w:styleId="128">
    <w:name w:val="E 条款 1.1"/>
    <w:basedOn w:val="1"/>
    <w:next w:val="1"/>
    <w:qFormat/>
    <w:uiPriority w:val="0"/>
    <w:pPr>
      <w:spacing w:beforeLines="50"/>
      <w:ind w:left="525"/>
      <w:outlineLvl w:val="4"/>
    </w:pPr>
    <w:rPr>
      <w:kern w:val="0"/>
      <w:sz w:val="24"/>
      <w:szCs w:val="24"/>
    </w:rPr>
  </w:style>
  <w:style w:type="paragraph" w:customStyle="1" w:styleId="129">
    <w:name w:val="A 章节1"/>
    <w:basedOn w:val="36"/>
    <w:next w:val="1"/>
    <w:qFormat/>
    <w:uiPriority w:val="0"/>
    <w:pPr>
      <w:adjustRightInd w:val="0"/>
      <w:outlineLvl w:val="0"/>
    </w:pPr>
    <w:rPr>
      <w:rFonts w:eastAsia="黑体"/>
      <w:b/>
      <w:sz w:val="52"/>
      <w:szCs w:val="52"/>
    </w:rPr>
  </w:style>
  <w:style w:type="paragraph" w:customStyle="1" w:styleId="130">
    <w:name w:val="列表段落1"/>
    <w:basedOn w:val="1"/>
    <w:qFormat/>
    <w:uiPriority w:val="34"/>
    <w:pPr>
      <w:ind w:firstLine="420" w:firstLineChars="200"/>
    </w:pPr>
    <w:rPr>
      <w:rFonts w:ascii="Calibri" w:hAnsi="Calibri"/>
      <w:szCs w:val="22"/>
    </w:rPr>
  </w:style>
  <w:style w:type="paragraph" w:customStyle="1" w:styleId="131">
    <w:name w:val="项目"/>
    <w:basedOn w:val="1"/>
    <w:qFormat/>
    <w:uiPriority w:val="0"/>
    <w:pPr>
      <w:numPr>
        <w:ilvl w:val="0"/>
        <w:numId w:val="1"/>
      </w:numPr>
      <w:tabs>
        <w:tab w:val="left" w:pos="567"/>
      </w:tabs>
      <w:snapToGrid w:val="0"/>
      <w:ind w:left="567"/>
    </w:pPr>
    <w:rPr>
      <w:rFonts w:eastAsia="楷体_GB2312"/>
      <w:b/>
      <w:sz w:val="24"/>
    </w:rPr>
  </w:style>
  <w:style w:type="character" w:customStyle="1" w:styleId="132">
    <w:name w:val="apple-style-span"/>
    <w:basedOn w:val="40"/>
    <w:autoRedefine/>
    <w:qFormat/>
    <w:uiPriority w:val="0"/>
  </w:style>
  <w:style w:type="paragraph" w:customStyle="1" w:styleId="133">
    <w:name w:val="_Style 1"/>
    <w:basedOn w:val="1"/>
    <w:qFormat/>
    <w:uiPriority w:val="34"/>
    <w:pPr>
      <w:widowControl/>
      <w:spacing w:before="120" w:after="240"/>
      <w:ind w:firstLine="420" w:firstLineChars="200"/>
    </w:pPr>
    <w:rPr>
      <w:rFonts w:ascii="Calibri" w:hAnsi="Calibri"/>
      <w:sz w:val="22"/>
      <w:szCs w:val="22"/>
      <w:lang w:val="ru-RU"/>
    </w:rPr>
  </w:style>
  <w:style w:type="paragraph" w:customStyle="1" w:styleId="134">
    <w:name w:val="Normal_1"/>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5">
    <w:name w:val="Normal_2"/>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6">
    <w:name w:val="Normal_0"/>
    <w:autoRedefine/>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7">
    <w:name w:val="Normal_3"/>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8">
    <w:name w:val="列出段落2"/>
    <w:basedOn w:val="1"/>
    <w:autoRedefine/>
    <w:qFormat/>
    <w:uiPriority w:val="34"/>
    <w:pPr>
      <w:ind w:firstLine="420" w:firstLineChars="200"/>
    </w:pPr>
    <w:rPr>
      <w:rFonts w:ascii="Calibri" w:hAnsi="Calibri"/>
      <w:szCs w:val="22"/>
    </w:rPr>
  </w:style>
  <w:style w:type="paragraph" w:customStyle="1" w:styleId="139">
    <w:name w:val="列出段落3"/>
    <w:basedOn w:val="1"/>
    <w:qFormat/>
    <w:uiPriority w:val="34"/>
    <w:pPr>
      <w:ind w:firstLine="420" w:firstLineChars="200"/>
    </w:pPr>
    <w:rPr>
      <w:rFonts w:ascii="Calibri" w:hAnsi="Calibri"/>
      <w:szCs w:val="22"/>
    </w:rPr>
  </w:style>
  <w:style w:type="paragraph" w:styleId="140">
    <w:name w:val="List Paragraph"/>
    <w:basedOn w:val="1"/>
    <w:qFormat/>
    <w:uiPriority w:val="99"/>
    <w:pPr>
      <w:ind w:firstLine="420" w:firstLineChars="200"/>
    </w:pPr>
  </w:style>
  <w:style w:type="paragraph" w:customStyle="1" w:styleId="141">
    <w:name w:val="TOC 标题2"/>
    <w:basedOn w:val="2"/>
    <w:next w:val="1"/>
    <w:autoRedefine/>
    <w:unhideWhenUsed/>
    <w:qFormat/>
    <w:uiPriority w:val="39"/>
    <w:pPr>
      <w:keepNext/>
      <w:spacing w:before="240" w:beforeLines="0" w:line="259" w:lineRule="auto"/>
      <w:jc w:val="left"/>
      <w:outlineLvl w:val="9"/>
    </w:pPr>
    <w:rPr>
      <w:rFonts w:ascii="等线 Light" w:hAnsi="等线 Light" w:eastAsia="等线 Light"/>
      <w:color w:val="2F5496"/>
      <w:kern w:val="0"/>
      <w:sz w:val="32"/>
      <w:szCs w:val="32"/>
    </w:rPr>
  </w:style>
  <w:style w:type="paragraph" w:customStyle="1" w:styleId="142">
    <w:name w:val="_Style 140"/>
    <w:basedOn w:val="1"/>
    <w:next w:val="140"/>
    <w:qFormat/>
    <w:uiPriority w:val="1"/>
    <w:pPr>
      <w:autoSpaceDE w:val="0"/>
      <w:autoSpaceDN w:val="0"/>
      <w:spacing w:before="17"/>
      <w:ind w:left="1114" w:hanging="552"/>
      <w:jc w:val="left"/>
    </w:pPr>
    <w:rPr>
      <w:rFonts w:ascii="宋体" w:hAnsi="宋体" w:cs="宋体"/>
      <w:kern w:val="0"/>
      <w:sz w:val="22"/>
      <w:szCs w:val="22"/>
      <w:lang w:eastAsia="en-US"/>
    </w:rPr>
  </w:style>
  <w:style w:type="character" w:customStyle="1" w:styleId="143">
    <w:name w:val="font71"/>
    <w:basedOn w:val="40"/>
    <w:qFormat/>
    <w:uiPriority w:val="0"/>
    <w:rPr>
      <w:rFonts w:ascii="Microsoft JhengHei" w:hAnsi="Microsoft JhengHei" w:eastAsia="Microsoft JhengHei" w:cs="Microsoft JhengHei"/>
      <w:b/>
      <w:bCs/>
      <w:color w:val="000000"/>
      <w:sz w:val="24"/>
      <w:szCs w:val="24"/>
      <w:u w:val="none"/>
    </w:rPr>
  </w:style>
  <w:style w:type="character" w:customStyle="1" w:styleId="144">
    <w:name w:val="font101"/>
    <w:basedOn w:val="40"/>
    <w:qFormat/>
    <w:uiPriority w:val="0"/>
    <w:rPr>
      <w:rFonts w:hint="eastAsia" w:ascii="Microsoft JhengHei" w:hAnsi="Microsoft JhengHei" w:eastAsia="Microsoft JhengHei" w:cs="Microsoft JhengHei"/>
      <w:b/>
      <w:bCs/>
      <w:color w:val="000000"/>
      <w:sz w:val="21"/>
      <w:szCs w:val="21"/>
      <w:u w:val="none"/>
    </w:rPr>
  </w:style>
  <w:style w:type="table" w:customStyle="1" w:styleId="145">
    <w:name w:val="Table Normal"/>
    <w:unhideWhenUsed/>
    <w:qFormat/>
    <w:uiPriority w:val="0"/>
    <w:tblPr>
      <w:tblCellMar>
        <w:top w:w="0" w:type="dxa"/>
        <w:left w:w="0" w:type="dxa"/>
        <w:bottom w:w="0" w:type="dxa"/>
        <w:right w:w="0" w:type="dxa"/>
      </w:tblCellMar>
    </w:tblPr>
  </w:style>
  <w:style w:type="paragraph" w:customStyle="1" w:styleId="146">
    <w:name w:val="Table Paragraph"/>
    <w:basedOn w:val="1"/>
    <w:autoRedefine/>
    <w:qFormat/>
    <w:uiPriority w:val="1"/>
    <w:rPr>
      <w:rFonts w:ascii="宋体" w:hAnsi="宋体" w:cs="宋体"/>
    </w:rPr>
  </w:style>
  <w:style w:type="paragraph" w:customStyle="1" w:styleId="147">
    <w:name w:val="正式文本"/>
    <w:basedOn w:val="1"/>
    <w:autoRedefine/>
    <w:qFormat/>
    <w:uiPriority w:val="0"/>
    <w:pPr>
      <w:spacing w:line="500" w:lineRule="exact"/>
      <w:ind w:firstLine="480" w:firstLineChars="200"/>
    </w:pPr>
    <w:rPr>
      <w:rFonts w:ascii="Arial Narrow" w:hAnsi="Arial Narrow"/>
      <w:sz w:val="24"/>
      <w:szCs w:val="24"/>
    </w:rPr>
  </w:style>
  <w:style w:type="character" w:customStyle="1" w:styleId="148">
    <w:name w:val="font41"/>
    <w:basedOn w:val="40"/>
    <w:autoRedefine/>
    <w:qFormat/>
    <w:uiPriority w:val="0"/>
    <w:rPr>
      <w:rFonts w:ascii="宋体" w:hAnsi="宋体" w:eastAsia="宋体" w:cs="宋体"/>
      <w:b/>
      <w:bCs/>
      <w:color w:val="000000"/>
      <w:sz w:val="18"/>
      <w:szCs w:val="18"/>
      <w:u w:val="none"/>
    </w:rPr>
  </w:style>
  <w:style w:type="character" w:customStyle="1" w:styleId="149">
    <w:name w:val="font01"/>
    <w:basedOn w:val="40"/>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Document2.docx"/><Relationship Id="rId7" Type="http://schemas.openxmlformats.org/officeDocument/2006/relationships/image" Target="media/image2.emf"/><Relationship Id="rId6" Type="http://schemas.openxmlformats.org/officeDocument/2006/relationships/package" Target="embeddings/Document1.docx"/><Relationship Id="rId5" Type="http://schemas.openxmlformats.org/officeDocument/2006/relationships/image" Target="media/image1.png"/><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image" Target="media/image13.emf"/><Relationship Id="rId28" Type="http://schemas.openxmlformats.org/officeDocument/2006/relationships/package" Target="embeddings/Document12.docx"/><Relationship Id="rId27" Type="http://schemas.openxmlformats.org/officeDocument/2006/relationships/image" Target="media/image12.emf"/><Relationship Id="rId26" Type="http://schemas.openxmlformats.org/officeDocument/2006/relationships/package" Target="embeddings/Document11.docx"/><Relationship Id="rId25" Type="http://schemas.openxmlformats.org/officeDocument/2006/relationships/image" Target="media/image11.emf"/><Relationship Id="rId24" Type="http://schemas.openxmlformats.org/officeDocument/2006/relationships/package" Target="embeddings/Document10.docx"/><Relationship Id="rId23" Type="http://schemas.openxmlformats.org/officeDocument/2006/relationships/image" Target="media/image10.emf"/><Relationship Id="rId22" Type="http://schemas.openxmlformats.org/officeDocument/2006/relationships/package" Target="embeddings/Document9.docx"/><Relationship Id="rId21" Type="http://schemas.openxmlformats.org/officeDocument/2006/relationships/image" Target="media/image9.emf"/><Relationship Id="rId20" Type="http://schemas.openxmlformats.org/officeDocument/2006/relationships/package" Target="embeddings/Document8.docx"/><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Document7.docx"/><Relationship Id="rId17" Type="http://schemas.openxmlformats.org/officeDocument/2006/relationships/image" Target="media/image7.emf"/><Relationship Id="rId16" Type="http://schemas.openxmlformats.org/officeDocument/2006/relationships/package" Target="embeddings/Document6.docx"/><Relationship Id="rId15" Type="http://schemas.openxmlformats.org/officeDocument/2006/relationships/image" Target="media/image6.emf"/><Relationship Id="rId14" Type="http://schemas.openxmlformats.org/officeDocument/2006/relationships/package" Target="embeddings/Document5.docx"/><Relationship Id="rId13" Type="http://schemas.openxmlformats.org/officeDocument/2006/relationships/image" Target="media/image5.emf"/><Relationship Id="rId12" Type="http://schemas.openxmlformats.org/officeDocument/2006/relationships/package" Target="embeddings/Document4.docx"/><Relationship Id="rId11" Type="http://schemas.openxmlformats.org/officeDocument/2006/relationships/image" Target="media/image4.emf"/><Relationship Id="rId10" Type="http://schemas.openxmlformats.org/officeDocument/2006/relationships/package" Target="embeddings/Document3.docx"/><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29</Pages>
  <Words>5483</Words>
  <Characters>5808</Characters>
  <Lines>496</Lines>
  <Paragraphs>516</Paragraphs>
  <TotalTime>121</TotalTime>
  <ScaleCrop>false</ScaleCrop>
  <LinksUpToDate>false</LinksUpToDate>
  <CharactersWithSpaces>5921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2026-02-25T01:05:00Z</dcterms:created>
  <dc:creator>陈阳</dc:creator>
  <cp:lastModifiedBy>陈阳</cp:lastModifiedBy>
  <dcterms:modified xsi:type="dcterms:W3CDTF">2026-03-05T11:59:23Z</dcterms:modified>
  <dc:title>招   标   文   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0B90001C438F4DBA955502B4A2930F1C_13</vt:lpwstr>
  </property>
  <property fmtid="{D5CDD505-2E9C-101B-9397-08002B2CF9AE}" pid="4" name="KSOTemplateDocerSaveRecord">
    <vt:lpwstr>eyJoZGlkIjoiYzdmNGVjYTdiMWZhZWQxZjdmYTllZjY5NjU0MDNiOTAiLCJ1c2VySWQiOiIyMDQxMDc3NjgifQ==</vt:lpwstr>
  </property>
</Properties>
</file>